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6" w:type="dxa"/>
        <w:tblInd w:w="-5" w:type="dxa"/>
        <w:shd w:val="clear" w:color="auto" w:fill="E0E0E0"/>
        <w:tblLook w:val="01E0" w:firstRow="1" w:lastRow="1" w:firstColumn="1" w:lastColumn="1" w:noHBand="0" w:noVBand="0"/>
      </w:tblPr>
      <w:tblGrid>
        <w:gridCol w:w="2415"/>
        <w:gridCol w:w="2268"/>
        <w:gridCol w:w="4253"/>
      </w:tblGrid>
      <w:tr w:rsidR="0025778F" w:rsidRPr="00852521" w14:paraId="3EF68904" w14:textId="25D30271" w:rsidTr="0025778F">
        <w:trPr>
          <w:trHeight w:val="575"/>
        </w:trPr>
        <w:tc>
          <w:tcPr>
            <w:tcW w:w="4683" w:type="dxa"/>
            <w:gridSpan w:val="2"/>
            <w:shd w:val="clear" w:color="auto" w:fill="FFFFFF" w:themeFill="background1"/>
          </w:tcPr>
          <w:p w14:paraId="22B96F7B" w14:textId="792ADB49" w:rsidR="0025778F" w:rsidRPr="00852521" w:rsidRDefault="00481863" w:rsidP="00360ECD">
            <w:pPr>
              <w:pStyle w:val="PlainText"/>
              <w:spacing w:before="0" w:after="0"/>
              <w:jc w:val="center"/>
              <w:rPr>
                <w:rFonts w:ascii="Calibri" w:hAnsi="Calibri" w:cs="Arial"/>
                <w:b/>
                <w:bCs/>
                <w:color w:val="FFFFFF" w:themeColor="background1"/>
                <w:sz w:val="36"/>
                <w:szCs w:val="36"/>
                <w:lang w:eastAsia="en-US"/>
              </w:rPr>
            </w:pPr>
            <w:r>
              <w:rPr>
                <w:rFonts w:ascii="Calibri" w:hAnsi="Calibri" w:cs="Arial"/>
                <w:b/>
                <w:bCs/>
                <w:color w:val="000000" w:themeColor="text1"/>
                <w:sz w:val="40"/>
                <w:szCs w:val="40"/>
                <w:lang w:eastAsia="en-US"/>
              </w:rPr>
              <w:t>Fundraising, Donation and</w:t>
            </w:r>
            <w:r w:rsidR="00C0578A">
              <w:rPr>
                <w:rFonts w:ascii="Calibri" w:hAnsi="Calibri" w:cs="Arial"/>
                <w:b/>
                <w:bCs/>
                <w:color w:val="000000" w:themeColor="text1"/>
                <w:sz w:val="40"/>
                <w:szCs w:val="40"/>
                <w:lang w:eastAsia="en-US"/>
              </w:rPr>
              <w:t xml:space="preserve"> Refund Policy</w:t>
            </w:r>
          </w:p>
        </w:tc>
        <w:tc>
          <w:tcPr>
            <w:tcW w:w="4253" w:type="dxa"/>
            <w:vMerge w:val="restart"/>
            <w:tcBorders>
              <w:bottom w:val="single" w:sz="4" w:space="0" w:color="auto"/>
            </w:tcBorders>
            <w:shd w:val="clear" w:color="auto" w:fill="FFFFFF" w:themeFill="background1"/>
          </w:tcPr>
          <w:p w14:paraId="2B1182D1" w14:textId="659FA2FE" w:rsidR="0025778F" w:rsidRPr="00852521" w:rsidRDefault="0025778F" w:rsidP="0025778F">
            <w:pPr>
              <w:pStyle w:val="PlainText"/>
              <w:spacing w:before="0" w:after="0"/>
              <w:rPr>
                <w:rFonts w:ascii="Calibri" w:hAnsi="Calibri" w:cs="Arial"/>
                <w:b/>
                <w:bCs/>
                <w:color w:val="000000" w:themeColor="text1"/>
                <w:sz w:val="36"/>
                <w:szCs w:val="36"/>
                <w:lang w:eastAsia="en-US"/>
              </w:rPr>
            </w:pPr>
            <w:r w:rsidRPr="00852521">
              <w:rPr>
                <w:rFonts w:cs="Calibri"/>
                <w:b/>
                <w:i/>
                <w:noProof/>
                <w:szCs w:val="22"/>
              </w:rPr>
              <w:drawing>
                <wp:anchor distT="0" distB="0" distL="114300" distR="114300" simplePos="0" relativeHeight="251663360" behindDoc="0" locked="0" layoutInCell="1" allowOverlap="1" wp14:anchorId="68E3AB50" wp14:editId="5159DA1B">
                  <wp:simplePos x="0" y="0"/>
                  <wp:positionH relativeFrom="column">
                    <wp:posOffset>698308</wp:posOffset>
                  </wp:positionH>
                  <wp:positionV relativeFrom="paragraph">
                    <wp:posOffset>89080</wp:posOffset>
                  </wp:positionV>
                  <wp:extent cx="2500630" cy="948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0630" cy="948690"/>
                          </a:xfrm>
                          <a:prstGeom prst="rect">
                            <a:avLst/>
                          </a:prstGeom>
                        </pic:spPr>
                      </pic:pic>
                    </a:graphicData>
                  </a:graphic>
                  <wp14:sizeRelH relativeFrom="margin">
                    <wp14:pctWidth>0</wp14:pctWidth>
                  </wp14:sizeRelH>
                  <wp14:sizeRelV relativeFrom="margin">
                    <wp14:pctHeight>0</wp14:pctHeight>
                  </wp14:sizeRelV>
                </wp:anchor>
              </w:drawing>
            </w:r>
          </w:p>
        </w:tc>
      </w:tr>
      <w:tr w:rsidR="0025778F" w:rsidRPr="00852521" w14:paraId="5317723F" w14:textId="6A6699D9" w:rsidTr="0025778F">
        <w:tc>
          <w:tcPr>
            <w:tcW w:w="2415" w:type="dxa"/>
            <w:shd w:val="clear" w:color="auto" w:fill="FFFFFF" w:themeFill="background1"/>
          </w:tcPr>
          <w:p w14:paraId="67891CC8" w14:textId="77777777"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Policy number</w:t>
            </w:r>
          </w:p>
        </w:tc>
        <w:tc>
          <w:tcPr>
            <w:tcW w:w="2268" w:type="dxa"/>
            <w:shd w:val="clear" w:color="auto" w:fill="FFFFFF" w:themeFill="background1"/>
          </w:tcPr>
          <w:p w14:paraId="12220219" w14:textId="67432648"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FTW-GOV-Policy-</w:t>
            </w:r>
            <w:r w:rsidR="00C0578A">
              <w:rPr>
                <w:rFonts w:ascii="Calibri" w:hAnsi="Calibri" w:cs="Arial"/>
                <w:color w:val="808080"/>
                <w:szCs w:val="24"/>
                <w:lang w:eastAsia="en-US"/>
              </w:rPr>
              <w:t>DR</w:t>
            </w:r>
          </w:p>
        </w:tc>
        <w:tc>
          <w:tcPr>
            <w:tcW w:w="4253" w:type="dxa"/>
            <w:vMerge/>
            <w:tcBorders>
              <w:bottom w:val="single" w:sz="4" w:space="0" w:color="auto"/>
            </w:tcBorders>
            <w:shd w:val="clear" w:color="auto" w:fill="FFFFFF" w:themeFill="background1"/>
          </w:tcPr>
          <w:p w14:paraId="7D290F77" w14:textId="2D5D0BEF" w:rsidR="0025778F" w:rsidRPr="00852521" w:rsidRDefault="0025778F" w:rsidP="0025778F">
            <w:pPr>
              <w:pStyle w:val="PlainText"/>
              <w:spacing w:before="0" w:after="0"/>
              <w:rPr>
                <w:rFonts w:ascii="Calibri" w:hAnsi="Calibri" w:cs="Arial"/>
                <w:color w:val="808080"/>
                <w:szCs w:val="24"/>
                <w:lang w:eastAsia="en-US"/>
              </w:rPr>
            </w:pPr>
          </w:p>
        </w:tc>
      </w:tr>
      <w:tr w:rsidR="0025778F" w:rsidRPr="00852521" w14:paraId="74856FFB" w14:textId="74B7790E" w:rsidTr="0025778F">
        <w:tc>
          <w:tcPr>
            <w:tcW w:w="2415" w:type="dxa"/>
            <w:shd w:val="clear" w:color="auto" w:fill="FFFFFF" w:themeFill="background1"/>
          </w:tcPr>
          <w:p w14:paraId="4586BD58" w14:textId="0687A50A"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Version</w:t>
            </w:r>
          </w:p>
        </w:tc>
        <w:tc>
          <w:tcPr>
            <w:tcW w:w="2268" w:type="dxa"/>
            <w:shd w:val="clear" w:color="auto" w:fill="FFFFFF" w:themeFill="background1"/>
          </w:tcPr>
          <w:p w14:paraId="5D1AA65E" w14:textId="1CD31979"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1.1</w:t>
            </w:r>
          </w:p>
        </w:tc>
        <w:tc>
          <w:tcPr>
            <w:tcW w:w="4253" w:type="dxa"/>
            <w:vMerge/>
            <w:tcBorders>
              <w:bottom w:val="single" w:sz="4" w:space="0" w:color="auto"/>
            </w:tcBorders>
            <w:shd w:val="clear" w:color="auto" w:fill="FFFFFF" w:themeFill="background1"/>
          </w:tcPr>
          <w:p w14:paraId="3DABF9E9" w14:textId="47A4BAD1" w:rsidR="0025778F" w:rsidRPr="00852521" w:rsidRDefault="0025778F" w:rsidP="0025778F">
            <w:pPr>
              <w:pStyle w:val="PlainText"/>
              <w:spacing w:before="0" w:after="0"/>
              <w:rPr>
                <w:rFonts w:ascii="Calibri" w:hAnsi="Calibri" w:cs="Arial"/>
                <w:color w:val="808080"/>
                <w:szCs w:val="24"/>
                <w:lang w:eastAsia="en-US"/>
              </w:rPr>
            </w:pPr>
          </w:p>
        </w:tc>
      </w:tr>
      <w:tr w:rsidR="0025778F" w:rsidRPr="00852521" w14:paraId="63F6A5AD" w14:textId="21E285C9" w:rsidTr="0025778F">
        <w:tc>
          <w:tcPr>
            <w:tcW w:w="2415" w:type="dxa"/>
            <w:shd w:val="clear" w:color="auto" w:fill="FFFFFF" w:themeFill="background1"/>
          </w:tcPr>
          <w:p w14:paraId="54FD4746" w14:textId="16F765AC"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Approved on</w:t>
            </w:r>
          </w:p>
        </w:tc>
        <w:tc>
          <w:tcPr>
            <w:tcW w:w="2268" w:type="dxa"/>
            <w:shd w:val="clear" w:color="auto" w:fill="FFFFFF" w:themeFill="background1"/>
          </w:tcPr>
          <w:p w14:paraId="13A43095" w14:textId="2F456CEB"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2023-0</w:t>
            </w:r>
            <w:r w:rsidR="0005479C">
              <w:rPr>
                <w:rFonts w:ascii="Calibri" w:hAnsi="Calibri" w:cs="Arial"/>
                <w:color w:val="808080"/>
                <w:szCs w:val="24"/>
                <w:lang w:eastAsia="en-US"/>
              </w:rPr>
              <w:t>9</w:t>
            </w:r>
            <w:r w:rsidRPr="00852521">
              <w:rPr>
                <w:rFonts w:ascii="Calibri" w:hAnsi="Calibri" w:cs="Arial"/>
                <w:color w:val="808080"/>
                <w:szCs w:val="24"/>
                <w:lang w:eastAsia="en-US"/>
              </w:rPr>
              <w:t>-0</w:t>
            </w:r>
            <w:r w:rsidR="0005479C">
              <w:rPr>
                <w:rFonts w:ascii="Calibri" w:hAnsi="Calibri" w:cs="Arial"/>
                <w:color w:val="808080"/>
                <w:szCs w:val="24"/>
                <w:lang w:eastAsia="en-US"/>
              </w:rPr>
              <w:t>8</w:t>
            </w:r>
          </w:p>
        </w:tc>
        <w:tc>
          <w:tcPr>
            <w:tcW w:w="4253" w:type="dxa"/>
            <w:vMerge/>
            <w:tcBorders>
              <w:bottom w:val="single" w:sz="4" w:space="0" w:color="auto"/>
            </w:tcBorders>
            <w:shd w:val="clear" w:color="auto" w:fill="FFFFFF" w:themeFill="background1"/>
          </w:tcPr>
          <w:p w14:paraId="0A333AF4" w14:textId="77777777" w:rsidR="0025778F" w:rsidRPr="00852521" w:rsidRDefault="0025778F" w:rsidP="0025778F">
            <w:pPr>
              <w:pStyle w:val="PlainText"/>
              <w:spacing w:before="0" w:after="0"/>
              <w:rPr>
                <w:rFonts w:ascii="Calibri" w:hAnsi="Calibri" w:cs="Arial"/>
                <w:color w:val="808080"/>
                <w:szCs w:val="24"/>
                <w:lang w:eastAsia="en-US"/>
              </w:rPr>
            </w:pPr>
          </w:p>
        </w:tc>
      </w:tr>
      <w:tr w:rsidR="0025778F" w:rsidRPr="00852521" w14:paraId="0F2A91CE" w14:textId="3AE3348C" w:rsidTr="0025778F">
        <w:tc>
          <w:tcPr>
            <w:tcW w:w="2415" w:type="dxa"/>
            <w:tcBorders>
              <w:bottom w:val="single" w:sz="4" w:space="0" w:color="auto"/>
            </w:tcBorders>
            <w:shd w:val="clear" w:color="auto" w:fill="FFFFFF" w:themeFill="background1"/>
          </w:tcPr>
          <w:p w14:paraId="377AFD34" w14:textId="186F531F" w:rsidR="0025778F" w:rsidRPr="00852521" w:rsidRDefault="0025778F" w:rsidP="0025778F">
            <w:pPr>
              <w:pStyle w:val="PlainText"/>
              <w:spacing w:before="0" w:after="0"/>
              <w:jc w:val="right"/>
              <w:rPr>
                <w:rFonts w:ascii="Calibri" w:hAnsi="Calibri" w:cs="Arial"/>
                <w:b/>
                <w:bCs/>
                <w:szCs w:val="24"/>
                <w:lang w:eastAsia="en-US"/>
              </w:rPr>
            </w:pPr>
            <w:r w:rsidRPr="00852521">
              <w:rPr>
                <w:rFonts w:ascii="Calibri" w:hAnsi="Calibri" w:cs="Arial"/>
                <w:b/>
                <w:bCs/>
                <w:szCs w:val="24"/>
                <w:lang w:eastAsia="en-US"/>
              </w:rPr>
              <w:t>Scheduled review date</w:t>
            </w:r>
          </w:p>
        </w:tc>
        <w:tc>
          <w:tcPr>
            <w:tcW w:w="2268" w:type="dxa"/>
            <w:tcBorders>
              <w:bottom w:val="single" w:sz="4" w:space="0" w:color="auto"/>
            </w:tcBorders>
            <w:shd w:val="clear" w:color="auto" w:fill="FFFFFF" w:themeFill="background1"/>
          </w:tcPr>
          <w:p w14:paraId="0450972D" w14:textId="728D42AF" w:rsidR="0025778F" w:rsidRPr="00852521" w:rsidRDefault="0025778F" w:rsidP="0025778F">
            <w:pPr>
              <w:pStyle w:val="PlainText"/>
              <w:spacing w:before="0" w:after="0"/>
              <w:rPr>
                <w:rFonts w:ascii="Calibri" w:hAnsi="Calibri" w:cs="Arial"/>
                <w:color w:val="808080"/>
                <w:szCs w:val="24"/>
                <w:lang w:eastAsia="en-US"/>
              </w:rPr>
            </w:pPr>
            <w:r w:rsidRPr="00852521">
              <w:rPr>
                <w:rFonts w:ascii="Calibri" w:hAnsi="Calibri" w:cs="Arial"/>
                <w:color w:val="808080"/>
                <w:szCs w:val="24"/>
                <w:lang w:eastAsia="en-US"/>
              </w:rPr>
              <w:t>2026-0</w:t>
            </w:r>
            <w:r w:rsidR="0005479C">
              <w:rPr>
                <w:rFonts w:ascii="Calibri" w:hAnsi="Calibri" w:cs="Arial"/>
                <w:color w:val="808080"/>
                <w:szCs w:val="24"/>
                <w:lang w:eastAsia="en-US"/>
              </w:rPr>
              <w:t>9</w:t>
            </w:r>
            <w:r w:rsidRPr="00852521">
              <w:rPr>
                <w:rFonts w:ascii="Calibri" w:hAnsi="Calibri" w:cs="Arial"/>
                <w:color w:val="808080"/>
                <w:szCs w:val="24"/>
                <w:lang w:eastAsia="en-US"/>
              </w:rPr>
              <w:t>-0</w:t>
            </w:r>
            <w:r w:rsidR="0005479C">
              <w:rPr>
                <w:rFonts w:ascii="Calibri" w:hAnsi="Calibri" w:cs="Arial"/>
                <w:color w:val="808080"/>
                <w:szCs w:val="24"/>
                <w:lang w:eastAsia="en-US"/>
              </w:rPr>
              <w:t>8</w:t>
            </w:r>
          </w:p>
        </w:tc>
        <w:tc>
          <w:tcPr>
            <w:tcW w:w="4253" w:type="dxa"/>
            <w:vMerge/>
            <w:tcBorders>
              <w:bottom w:val="single" w:sz="4" w:space="0" w:color="auto"/>
            </w:tcBorders>
            <w:shd w:val="clear" w:color="auto" w:fill="FFFFFF" w:themeFill="background1"/>
          </w:tcPr>
          <w:p w14:paraId="3963B4E1" w14:textId="77777777" w:rsidR="0025778F" w:rsidRPr="00852521" w:rsidRDefault="0025778F" w:rsidP="0025778F">
            <w:pPr>
              <w:pStyle w:val="PlainText"/>
              <w:spacing w:before="0" w:after="0"/>
              <w:rPr>
                <w:rFonts w:ascii="Calibri" w:hAnsi="Calibri" w:cs="Arial"/>
                <w:color w:val="808080"/>
                <w:szCs w:val="24"/>
                <w:lang w:eastAsia="en-US"/>
              </w:rPr>
            </w:pPr>
          </w:p>
        </w:tc>
      </w:tr>
    </w:tbl>
    <w:p w14:paraId="7C6F9419" w14:textId="77777777" w:rsidR="00B32F6D" w:rsidRPr="00852521" w:rsidRDefault="00B32F6D" w:rsidP="00B32F6D">
      <w:pPr>
        <w:pStyle w:val="Heading2"/>
        <w:rPr>
          <w:lang w:val="en-AU"/>
        </w:rPr>
      </w:pPr>
      <w:r w:rsidRPr="00852521">
        <w:rPr>
          <w:lang w:val="en-AU"/>
        </w:rPr>
        <w:t>Introduction</w:t>
      </w:r>
    </w:p>
    <w:p w14:paraId="3F01DED6" w14:textId="1F5B2553" w:rsidR="00FF5F67" w:rsidRPr="00852521" w:rsidRDefault="00FF5F67" w:rsidP="007F4B9C">
      <w:pPr>
        <w:pStyle w:val="BodyText"/>
      </w:pPr>
      <w:r w:rsidRPr="00852521">
        <w:t xml:space="preserve">Feed The World </w:t>
      </w:r>
      <w:r w:rsidR="00F4531B" w:rsidRPr="00852521">
        <w:t>(FTW)</w:t>
      </w:r>
      <w:r w:rsidR="0072670F" w:rsidRPr="00852521">
        <w:t xml:space="preserve"> </w:t>
      </w:r>
      <w:r w:rsidRPr="00852521">
        <w:t xml:space="preserve">is </w:t>
      </w:r>
      <w:r w:rsidR="00870A7D" w:rsidRPr="00852521">
        <w:t xml:space="preserve">a Charity organisation that is </w:t>
      </w:r>
      <w:r w:rsidR="00F4531B" w:rsidRPr="00852521">
        <w:t>established</w:t>
      </w:r>
      <w:r w:rsidR="00870A7D" w:rsidRPr="00852521">
        <w:t xml:space="preserve"> as a company </w:t>
      </w:r>
      <w:r w:rsidR="00F4531B" w:rsidRPr="00852521">
        <w:t xml:space="preserve">limited by guarantee. </w:t>
      </w:r>
      <w:r w:rsidR="00A95C88" w:rsidRPr="00852521">
        <w:t xml:space="preserve">FTW mission is </w:t>
      </w:r>
      <w:r w:rsidR="00F4531B" w:rsidRPr="00852521">
        <w:t>to provide relief by means of pecuniary or other assistance for the relief of poverty, age, and impotence</w:t>
      </w:r>
      <w:r w:rsidR="00A95C88" w:rsidRPr="00852521">
        <w:t xml:space="preserve">. FTW also works </w:t>
      </w:r>
      <w:r w:rsidR="00F4531B" w:rsidRPr="00852521">
        <w:t>to advance the health, social or public welfare of persons suffering from disability, mental illness, and the effects of old age</w:t>
      </w:r>
      <w:r w:rsidR="0072670F" w:rsidRPr="00852521">
        <w:t>.</w:t>
      </w:r>
    </w:p>
    <w:p w14:paraId="59CB44BF" w14:textId="6292562E" w:rsidR="00C16492" w:rsidRDefault="004E05AF" w:rsidP="007F4B9C">
      <w:pPr>
        <w:pStyle w:val="BodyText"/>
      </w:pPr>
      <w:r>
        <w:t>The Board of</w:t>
      </w:r>
      <w:r w:rsidR="00B73304">
        <w:t xml:space="preserve"> </w:t>
      </w:r>
      <w:r w:rsidR="28524B74">
        <w:t xml:space="preserve">Directors of </w:t>
      </w:r>
      <w:r w:rsidR="003C4ABF">
        <w:t>FTW</w:t>
      </w:r>
      <w:r w:rsidR="00B73304">
        <w:t xml:space="preserve"> </w:t>
      </w:r>
      <w:r w:rsidR="44637AEB">
        <w:t xml:space="preserve">is </w:t>
      </w:r>
      <w:r>
        <w:t xml:space="preserve">committed to high standards of </w:t>
      </w:r>
      <w:r w:rsidR="00C16492">
        <w:t xml:space="preserve">integrity and </w:t>
      </w:r>
      <w:r>
        <w:t xml:space="preserve">ethical conduct </w:t>
      </w:r>
      <w:r w:rsidR="0EAAB160">
        <w:t>i</w:t>
      </w:r>
      <w:r w:rsidR="00C16492">
        <w:t xml:space="preserve">n </w:t>
      </w:r>
      <w:proofErr w:type="gramStart"/>
      <w:r w:rsidR="00C16492">
        <w:t xml:space="preserve">all </w:t>
      </w:r>
      <w:r w:rsidR="41C8F063">
        <w:t>of</w:t>
      </w:r>
      <w:proofErr w:type="gramEnd"/>
      <w:r w:rsidR="30510F1D">
        <w:t xml:space="preserve"> </w:t>
      </w:r>
      <w:r w:rsidR="00C16492">
        <w:t xml:space="preserve">its transactions, including protecting the organisation </w:t>
      </w:r>
      <w:r w:rsidR="00C0578A">
        <w:t xml:space="preserve">and its donors </w:t>
      </w:r>
      <w:r w:rsidR="00C16492">
        <w:t xml:space="preserve">against financial abuse. The </w:t>
      </w:r>
      <w:r w:rsidR="00A46022">
        <w:t xml:space="preserve">Australian government in February 2023 met to establish 16 national fundraising principles that outline and harmonise state and territory requirements on fundraiser conduct. </w:t>
      </w:r>
    </w:p>
    <w:p w14:paraId="158DCF77" w14:textId="01DD04C5" w:rsidR="00B32F6D" w:rsidRPr="00852521" w:rsidRDefault="00B32F6D" w:rsidP="00B32F6D">
      <w:pPr>
        <w:pStyle w:val="Heading2"/>
        <w:rPr>
          <w:lang w:val="en-AU"/>
        </w:rPr>
      </w:pPr>
      <w:r w:rsidRPr="00852521">
        <w:rPr>
          <w:lang w:val="en-AU"/>
        </w:rPr>
        <w:t>Purpose</w:t>
      </w:r>
    </w:p>
    <w:p w14:paraId="0963C25F" w14:textId="04324E5F" w:rsidR="00A94263" w:rsidRDefault="00A94263" w:rsidP="007F4B9C">
      <w:pPr>
        <w:pStyle w:val="BodyText"/>
      </w:pPr>
      <w:r w:rsidRPr="00852521">
        <w:t>The purpose of this Policy is to:</w:t>
      </w:r>
    </w:p>
    <w:p w14:paraId="7D006F84" w14:textId="697E7557" w:rsidR="00392EAA" w:rsidRPr="00C0578A" w:rsidRDefault="00481863" w:rsidP="00C0578A">
      <w:pPr>
        <w:rPr>
          <w:rFonts w:ascii="Book Antiqua" w:hAnsi="Book Antiqua"/>
        </w:rPr>
      </w:pPr>
      <w:r>
        <w:rPr>
          <w:rFonts w:ascii="Book Antiqua" w:hAnsi="Book Antiqua"/>
        </w:rPr>
        <w:t>Establishing guiding principles of fundraising and i</w:t>
      </w:r>
      <w:r w:rsidR="00C0578A" w:rsidRPr="00C0578A">
        <w:rPr>
          <w:rFonts w:ascii="Book Antiqua" w:hAnsi="Book Antiqua"/>
        </w:rPr>
        <w:t xml:space="preserve">nform donors of the procedures in place to address use of donations and </w:t>
      </w:r>
      <w:r>
        <w:rPr>
          <w:rFonts w:ascii="Book Antiqua" w:hAnsi="Book Antiqua"/>
        </w:rPr>
        <w:t xml:space="preserve">refund request and entitlement. </w:t>
      </w:r>
      <w:r w:rsidR="00C0578A" w:rsidRPr="00C0578A">
        <w:rPr>
          <w:rFonts w:ascii="Book Antiqua" w:hAnsi="Book Antiqua"/>
        </w:rPr>
        <w:t xml:space="preserve"> </w:t>
      </w:r>
    </w:p>
    <w:p w14:paraId="065260CD" w14:textId="041FA4A6" w:rsidR="00FC2349" w:rsidRPr="00852521" w:rsidRDefault="00DE133D" w:rsidP="00503FFA">
      <w:pPr>
        <w:pStyle w:val="Heading2"/>
        <w:rPr>
          <w:lang w:val="en-AU"/>
        </w:rPr>
      </w:pPr>
      <w:r w:rsidRPr="00852521">
        <w:rPr>
          <w:lang w:val="en-AU"/>
        </w:rPr>
        <w:t>Scope:</w:t>
      </w:r>
    </w:p>
    <w:p w14:paraId="2141A6D2" w14:textId="70E63D85" w:rsidR="008F66DA" w:rsidRPr="00852521" w:rsidRDefault="008F66DA" w:rsidP="008F66DA">
      <w:pPr>
        <w:rPr>
          <w:rStyle w:val="BodyTextChar"/>
          <w:rFonts w:eastAsia="MS Mincho"/>
        </w:rPr>
      </w:pPr>
      <w:r w:rsidRPr="00852521">
        <w:rPr>
          <w:rStyle w:val="BodyTextChar"/>
          <w:rFonts w:eastAsia="MS Mincho"/>
        </w:rPr>
        <w:t xml:space="preserve">The scope of this policy covers the following </w:t>
      </w:r>
      <w:proofErr w:type="gramStart"/>
      <w:r w:rsidRPr="00852521">
        <w:rPr>
          <w:rStyle w:val="BodyTextChar"/>
          <w:rFonts w:eastAsia="MS Mincho"/>
        </w:rPr>
        <w:t>areas</w:t>
      </w:r>
      <w:proofErr w:type="gramEnd"/>
      <w:r w:rsidRPr="00852521">
        <w:rPr>
          <w:rStyle w:val="BodyTextChar"/>
          <w:rFonts w:eastAsia="MS Mincho"/>
        </w:rPr>
        <w:t xml:space="preserve"> </w:t>
      </w:r>
    </w:p>
    <w:p w14:paraId="7BF5D966" w14:textId="0C02CD80" w:rsidR="00481863" w:rsidRDefault="00481863" w:rsidP="007678A5">
      <w:pPr>
        <w:pStyle w:val="ListParagraph"/>
        <w:numPr>
          <w:ilvl w:val="0"/>
          <w:numId w:val="15"/>
        </w:numPr>
        <w:rPr>
          <w:rStyle w:val="BodyTextChar"/>
          <w:rFonts w:eastAsia="MS Mincho"/>
        </w:rPr>
      </w:pPr>
      <w:r>
        <w:rPr>
          <w:rStyle w:val="BodyTextChar"/>
          <w:rFonts w:eastAsia="MS Mincho"/>
        </w:rPr>
        <w:t>Fundraising</w:t>
      </w:r>
    </w:p>
    <w:p w14:paraId="766F08D9" w14:textId="33687D3F" w:rsidR="008F66DA" w:rsidRPr="00852521" w:rsidRDefault="005B1D31" w:rsidP="007678A5">
      <w:pPr>
        <w:pStyle w:val="ListParagraph"/>
        <w:numPr>
          <w:ilvl w:val="0"/>
          <w:numId w:val="15"/>
        </w:numPr>
        <w:rPr>
          <w:rStyle w:val="BodyTextChar"/>
          <w:rFonts w:eastAsia="MS Mincho"/>
        </w:rPr>
      </w:pPr>
      <w:r>
        <w:rPr>
          <w:rStyle w:val="BodyTextChar"/>
          <w:rFonts w:eastAsia="MS Mincho"/>
        </w:rPr>
        <w:t xml:space="preserve">Funds </w:t>
      </w:r>
      <w:proofErr w:type="gramStart"/>
      <w:r>
        <w:rPr>
          <w:rStyle w:val="BodyTextChar"/>
          <w:rFonts w:eastAsia="MS Mincho"/>
        </w:rPr>
        <w:t>received</w:t>
      </w:r>
      <w:proofErr w:type="gramEnd"/>
    </w:p>
    <w:p w14:paraId="1CB3585B" w14:textId="4A99B047" w:rsidR="008F66DA" w:rsidRPr="00852521" w:rsidRDefault="005B1D31" w:rsidP="007678A5">
      <w:pPr>
        <w:pStyle w:val="ListParagraph"/>
        <w:numPr>
          <w:ilvl w:val="0"/>
          <w:numId w:val="15"/>
        </w:numPr>
        <w:rPr>
          <w:rStyle w:val="BodyTextChar"/>
          <w:rFonts w:eastAsia="MS Mincho"/>
        </w:rPr>
      </w:pPr>
      <w:r>
        <w:rPr>
          <w:rStyle w:val="BodyTextChar"/>
          <w:rFonts w:eastAsia="MS Mincho"/>
        </w:rPr>
        <w:t>Funds refusal</w:t>
      </w:r>
    </w:p>
    <w:p w14:paraId="275167B6" w14:textId="050C7E32" w:rsidR="008F66DA" w:rsidRPr="00852521" w:rsidRDefault="005B1D31" w:rsidP="007678A5">
      <w:pPr>
        <w:pStyle w:val="ListParagraph"/>
        <w:numPr>
          <w:ilvl w:val="0"/>
          <w:numId w:val="15"/>
        </w:numPr>
        <w:rPr>
          <w:rStyle w:val="BodyTextChar"/>
          <w:rFonts w:eastAsia="MS Mincho"/>
        </w:rPr>
      </w:pPr>
      <w:r>
        <w:rPr>
          <w:rStyle w:val="BodyTextChar"/>
          <w:rFonts w:eastAsia="MS Mincho"/>
        </w:rPr>
        <w:t>Refunds</w:t>
      </w:r>
    </w:p>
    <w:p w14:paraId="34105526" w14:textId="30A4C27D" w:rsidR="00B32F6D" w:rsidRPr="00852521" w:rsidRDefault="00B32F6D" w:rsidP="00B32F6D">
      <w:pPr>
        <w:pStyle w:val="Heading2"/>
        <w:rPr>
          <w:lang w:val="en-AU"/>
        </w:rPr>
      </w:pPr>
      <w:r w:rsidRPr="00852521">
        <w:rPr>
          <w:lang w:val="en-AU"/>
        </w:rPr>
        <w:t>Policy</w:t>
      </w:r>
    </w:p>
    <w:p w14:paraId="458AC311" w14:textId="77777777" w:rsidR="00481863" w:rsidRDefault="00481863" w:rsidP="005B1D31">
      <w:pPr>
        <w:rPr>
          <w:rFonts w:ascii="Book Antiqua" w:hAnsi="Book Antiqua"/>
          <w:b/>
          <w:bCs/>
        </w:rPr>
      </w:pPr>
      <w:r>
        <w:rPr>
          <w:rFonts w:ascii="Book Antiqua" w:hAnsi="Book Antiqua"/>
          <w:b/>
          <w:bCs/>
        </w:rPr>
        <w:t>Fundraising</w:t>
      </w:r>
    </w:p>
    <w:p w14:paraId="61438BD2" w14:textId="4B51F4F1" w:rsidR="00481863" w:rsidRPr="00481863" w:rsidRDefault="00481863" w:rsidP="00481863">
      <w:pPr>
        <w:pStyle w:val="BodyText"/>
      </w:pPr>
      <w:r>
        <w:t xml:space="preserve">The Australian government in February 2023 met to establish 16 national fundraising principles that outline and harmonise state and territory requirements on fundraiser conduct. </w:t>
      </w:r>
      <w:r>
        <w:t xml:space="preserve">These 16 principles are as follows: </w:t>
      </w:r>
    </w:p>
    <w:p w14:paraId="0368CBF6"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Always explain the purpose of their charity and the purpose to which the funds raised will be applied in ways that are appropriate for the audience.</w:t>
      </w:r>
    </w:p>
    <w:p w14:paraId="66654008"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Always be clearly, and individually, identifiable by the public (including to display identification that contains the individual’s name, whether they are a volunteer, employee or acting in some other capacity for a charitable organisation or commercial fundraising organisation, and that organisation’s name and contact details).</w:t>
      </w:r>
    </w:p>
    <w:p w14:paraId="55565E6D"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lastRenderedPageBreak/>
        <w:t>Always make and keep written records of fundraising activities that can be easily read and understood.</w:t>
      </w:r>
    </w:p>
    <w:p w14:paraId="6D716E89"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Always acknowledge and comply with a:</w:t>
      </w:r>
    </w:p>
    <w:p w14:paraId="33AA7009" w14:textId="77777777" w:rsidR="00481863" w:rsidRPr="00A46022" w:rsidRDefault="00481863" w:rsidP="00481863">
      <w:pPr>
        <w:numPr>
          <w:ilvl w:val="1"/>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 xml:space="preserve">refusal to make a </w:t>
      </w:r>
      <w:proofErr w:type="gramStart"/>
      <w:r w:rsidRPr="00A46022">
        <w:rPr>
          <w:rFonts w:ascii="Book Antiqua" w:eastAsia="Times New Roman" w:hAnsi="Book Antiqua"/>
          <w:color w:val="333333"/>
          <w:szCs w:val="22"/>
          <w:lang w:val="en-GB" w:eastAsia="en-GB"/>
        </w:rPr>
        <w:t>donation</w:t>
      </w:r>
      <w:proofErr w:type="gramEnd"/>
    </w:p>
    <w:p w14:paraId="2C98E343" w14:textId="77777777" w:rsidR="00481863" w:rsidRPr="00A46022" w:rsidRDefault="00481863" w:rsidP="00481863">
      <w:pPr>
        <w:numPr>
          <w:ilvl w:val="1"/>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request not to receive future solicitations (including marketing and promotional materials)</w:t>
      </w:r>
    </w:p>
    <w:p w14:paraId="00533A97" w14:textId="77777777" w:rsidR="00481863" w:rsidRPr="00A46022" w:rsidRDefault="00481863" w:rsidP="00481863">
      <w:pPr>
        <w:numPr>
          <w:ilvl w:val="1"/>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 xml:space="preserve">request to be contacted at a more convenient time or by a different </w:t>
      </w:r>
      <w:proofErr w:type="gramStart"/>
      <w:r w:rsidRPr="00A46022">
        <w:rPr>
          <w:rFonts w:ascii="Book Antiqua" w:eastAsia="Times New Roman" w:hAnsi="Book Antiqua"/>
          <w:color w:val="333333"/>
          <w:szCs w:val="22"/>
          <w:lang w:val="en-GB" w:eastAsia="en-GB"/>
        </w:rPr>
        <w:t>means</w:t>
      </w:r>
      <w:proofErr w:type="gramEnd"/>
    </w:p>
    <w:p w14:paraId="13FB5DA4" w14:textId="77777777" w:rsidR="00481863" w:rsidRPr="00A46022" w:rsidRDefault="00481863" w:rsidP="00481863">
      <w:pPr>
        <w:numPr>
          <w:ilvl w:val="1"/>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 xml:space="preserve">request to limit the number, </w:t>
      </w:r>
      <w:proofErr w:type="gramStart"/>
      <w:r w:rsidRPr="00A46022">
        <w:rPr>
          <w:rFonts w:ascii="Book Antiqua" w:eastAsia="Times New Roman" w:hAnsi="Book Antiqua"/>
          <w:color w:val="333333"/>
          <w:szCs w:val="22"/>
          <w:lang w:val="en-GB" w:eastAsia="en-GB"/>
        </w:rPr>
        <w:t>type</w:t>
      </w:r>
      <w:proofErr w:type="gramEnd"/>
      <w:r w:rsidRPr="00A46022">
        <w:rPr>
          <w:rFonts w:ascii="Book Antiqua" w:eastAsia="Times New Roman" w:hAnsi="Book Antiqua"/>
          <w:color w:val="333333"/>
          <w:szCs w:val="22"/>
          <w:lang w:val="en-GB" w:eastAsia="en-GB"/>
        </w:rPr>
        <w:t xml:space="preserve"> or frequency of solicitations.</w:t>
      </w:r>
    </w:p>
    <w:p w14:paraId="2D442B8E"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Never conduct door</w:t>
      </w:r>
      <w:r w:rsidRPr="00A46022">
        <w:rPr>
          <w:rFonts w:ascii="Book Antiqua" w:eastAsia="Times New Roman" w:hAnsi="Book Antiqua"/>
          <w:color w:val="333333"/>
          <w:szCs w:val="22"/>
          <w:lang w:val="en-GB" w:eastAsia="en-GB"/>
        </w:rPr>
        <w:noBreakHyphen/>
        <w:t>to</w:t>
      </w:r>
      <w:r w:rsidRPr="00A46022">
        <w:rPr>
          <w:rFonts w:ascii="Book Antiqua" w:eastAsia="Times New Roman" w:hAnsi="Book Antiqua"/>
          <w:color w:val="333333"/>
          <w:szCs w:val="22"/>
          <w:lang w:val="en-GB" w:eastAsia="en-GB"/>
        </w:rPr>
        <w:noBreakHyphen/>
        <w:t>door or telephone fundraising activity at the following times:</w:t>
      </w:r>
    </w:p>
    <w:p w14:paraId="2B47B9AA" w14:textId="77777777" w:rsidR="00481863" w:rsidRPr="00A46022" w:rsidRDefault="00481863" w:rsidP="00481863">
      <w:pPr>
        <w:numPr>
          <w:ilvl w:val="1"/>
          <w:numId w:val="29"/>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before 9 am or after 5 pm on a weekend</w:t>
      </w:r>
    </w:p>
    <w:p w14:paraId="79AA7AF5" w14:textId="77777777" w:rsidR="00481863" w:rsidRPr="00A46022" w:rsidRDefault="00481863" w:rsidP="00481863">
      <w:pPr>
        <w:numPr>
          <w:ilvl w:val="1"/>
          <w:numId w:val="29"/>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before 9 am or after 6 pm (door</w:t>
      </w:r>
      <w:r w:rsidRPr="00A46022">
        <w:rPr>
          <w:rFonts w:ascii="Book Antiqua" w:eastAsia="Times New Roman" w:hAnsi="Book Antiqua"/>
          <w:color w:val="333333"/>
          <w:szCs w:val="22"/>
          <w:lang w:val="en-GB" w:eastAsia="en-GB"/>
        </w:rPr>
        <w:noBreakHyphen/>
        <w:t>to</w:t>
      </w:r>
      <w:r w:rsidRPr="00A46022">
        <w:rPr>
          <w:rFonts w:ascii="Book Antiqua" w:eastAsia="Times New Roman" w:hAnsi="Book Antiqua"/>
          <w:color w:val="333333"/>
          <w:szCs w:val="22"/>
          <w:lang w:val="en-GB" w:eastAsia="en-GB"/>
        </w:rPr>
        <w:noBreakHyphen/>
        <w:t>door) or 8 pm (telephone) on a weekday</w:t>
      </w:r>
    </w:p>
    <w:p w14:paraId="1C3BFECB" w14:textId="77777777" w:rsidR="00481863" w:rsidRPr="00A46022" w:rsidRDefault="00481863" w:rsidP="00481863">
      <w:pPr>
        <w:numPr>
          <w:ilvl w:val="1"/>
          <w:numId w:val="29"/>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on a public holiday, unless the public holiday is closely connected with a fundraiser’s charitable purpose.</w:t>
      </w:r>
    </w:p>
    <w:p w14:paraId="44AA79E7"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 xml:space="preserve">Never mislead, </w:t>
      </w:r>
      <w:proofErr w:type="gramStart"/>
      <w:r w:rsidRPr="00A46022">
        <w:rPr>
          <w:rFonts w:ascii="Book Antiqua" w:eastAsia="Times New Roman" w:hAnsi="Book Antiqua"/>
          <w:color w:val="333333"/>
          <w:szCs w:val="22"/>
          <w:lang w:val="en-GB" w:eastAsia="en-GB"/>
        </w:rPr>
        <w:t>deceive</w:t>
      </w:r>
      <w:proofErr w:type="gramEnd"/>
      <w:r w:rsidRPr="00A46022">
        <w:rPr>
          <w:rFonts w:ascii="Book Antiqua" w:eastAsia="Times New Roman" w:hAnsi="Book Antiqua"/>
          <w:color w:val="333333"/>
          <w:szCs w:val="22"/>
          <w:lang w:val="en-GB" w:eastAsia="en-GB"/>
        </w:rPr>
        <w:t xml:space="preserve"> or knowingly use false or inaccurate information when fundraising.</w:t>
      </w:r>
    </w:p>
    <w:p w14:paraId="5B1369AF"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Never place undue or unreasonable pressure on a person when fundraising, or act unconscionably in any way to obtain a donation.</w:t>
      </w:r>
    </w:p>
    <w:p w14:paraId="12CA4574"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Never exploit the trust, lack of knowledge, lack of capacity, apparent need for care and support, or vulnerable circumstances of any donor.</w:t>
      </w:r>
    </w:p>
    <w:p w14:paraId="74D735AD"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Always make it clear whether a donation is a one</w:t>
      </w:r>
      <w:r w:rsidRPr="00A46022">
        <w:rPr>
          <w:rFonts w:ascii="Book Antiqua" w:eastAsia="Times New Roman" w:hAnsi="Book Antiqua"/>
          <w:color w:val="333333"/>
          <w:szCs w:val="22"/>
          <w:lang w:val="en-GB" w:eastAsia="en-GB"/>
        </w:rPr>
        <w:noBreakHyphen/>
        <w:t>off or an ongoing donation, and clearly explain how to end an ongoing donation.</w:t>
      </w:r>
    </w:p>
    <w:p w14:paraId="7F331312" w14:textId="77777777" w:rsidR="00481863" w:rsidRPr="00A46022" w:rsidRDefault="00481863" w:rsidP="00481863">
      <w:pPr>
        <w:numPr>
          <w:ilvl w:val="0"/>
          <w:numId w:val="28"/>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For commercial fundraisers engaged to fundraise for a charitable organisation, never accept a donation without having explained that they are part of an organisation that makes a profit from fundraising as well as how they are paid.</w:t>
      </w:r>
    </w:p>
    <w:p w14:paraId="656FA906" w14:textId="77777777" w:rsidR="00481863" w:rsidRPr="00A46022" w:rsidRDefault="00481863" w:rsidP="00481863">
      <w:p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At all times, charitable organisations must:</w:t>
      </w:r>
    </w:p>
    <w:p w14:paraId="07B44564" w14:textId="77777777" w:rsidR="00481863" w:rsidRPr="00A46022" w:rsidRDefault="00481863" w:rsidP="00481863">
      <w:pPr>
        <w:numPr>
          <w:ilvl w:val="0"/>
          <w:numId w:val="30"/>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Conduct all reasonable due diligence when engaging third parties to assist, support or deliver fundraising activities on its behalf.</w:t>
      </w:r>
    </w:p>
    <w:p w14:paraId="29D6CA9F" w14:textId="77777777" w:rsidR="00481863" w:rsidRPr="00A46022" w:rsidRDefault="00481863" w:rsidP="00481863">
      <w:pPr>
        <w:numPr>
          <w:ilvl w:val="0"/>
          <w:numId w:val="30"/>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Make and keep written records of the total funds raised and the purposes for which funds are applied.</w:t>
      </w:r>
    </w:p>
    <w:p w14:paraId="3027FF91" w14:textId="77777777" w:rsidR="00481863" w:rsidRPr="00A46022" w:rsidRDefault="00481863" w:rsidP="00481863">
      <w:pPr>
        <w:numPr>
          <w:ilvl w:val="0"/>
          <w:numId w:val="30"/>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Take all reasonable measures to protect the health, safety and wellbeing of fundraisers employed or directly engaged by them, as well as members of the public, when fundraising.</w:t>
      </w:r>
    </w:p>
    <w:p w14:paraId="0984344C" w14:textId="77777777" w:rsidR="00481863" w:rsidRPr="00A46022" w:rsidRDefault="00481863" w:rsidP="00481863">
      <w:pPr>
        <w:numPr>
          <w:ilvl w:val="0"/>
          <w:numId w:val="30"/>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Establish and maintain a complaints process that allows for proper investigation and redress of fundraising complaints that may be made by the public and encourage anyone with concerns about a fundraising activity conducted by or on behalf of the charity to contact them.</w:t>
      </w:r>
    </w:p>
    <w:p w14:paraId="2FD6FA30" w14:textId="77777777" w:rsidR="00481863" w:rsidRPr="00A46022" w:rsidRDefault="00481863" w:rsidP="00481863">
      <w:pPr>
        <w:numPr>
          <w:ilvl w:val="0"/>
          <w:numId w:val="30"/>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Ensure information covered by the </w:t>
      </w:r>
      <w:r w:rsidRPr="00A46022">
        <w:rPr>
          <w:rFonts w:ascii="Book Antiqua" w:eastAsia="Times New Roman" w:hAnsi="Book Antiqua"/>
          <w:i/>
          <w:iCs/>
          <w:color w:val="333333"/>
          <w:szCs w:val="22"/>
          <w:lang w:val="en-GB" w:eastAsia="en-GB"/>
        </w:rPr>
        <w:t>Privacy Act 1998</w:t>
      </w:r>
      <w:r w:rsidRPr="00A46022">
        <w:rPr>
          <w:rFonts w:ascii="Book Antiqua" w:eastAsia="Times New Roman" w:hAnsi="Book Antiqua"/>
          <w:color w:val="333333"/>
          <w:szCs w:val="22"/>
          <w:lang w:val="en-GB" w:eastAsia="en-GB"/>
        </w:rPr>
        <w:t xml:space="preserve"> (the Act) is collected, </w:t>
      </w:r>
      <w:proofErr w:type="gramStart"/>
      <w:r w:rsidRPr="00A46022">
        <w:rPr>
          <w:rFonts w:ascii="Book Antiqua" w:eastAsia="Times New Roman" w:hAnsi="Book Antiqua"/>
          <w:color w:val="333333"/>
          <w:szCs w:val="22"/>
          <w:lang w:val="en-GB" w:eastAsia="en-GB"/>
        </w:rPr>
        <w:t>used</w:t>
      </w:r>
      <w:proofErr w:type="gramEnd"/>
      <w:r w:rsidRPr="00A46022">
        <w:rPr>
          <w:rFonts w:ascii="Book Antiqua" w:eastAsia="Times New Roman" w:hAnsi="Book Antiqua"/>
          <w:color w:val="333333"/>
          <w:szCs w:val="22"/>
          <w:lang w:val="en-GB" w:eastAsia="en-GB"/>
        </w:rPr>
        <w:t xml:space="preserve"> and managed in accordance with the Australian Privacy Principles where required under the Act.</w:t>
      </w:r>
    </w:p>
    <w:p w14:paraId="43AA9D7E" w14:textId="5F9722AA" w:rsidR="00481863" w:rsidRPr="00481863" w:rsidRDefault="00481863" w:rsidP="005B1D31">
      <w:pPr>
        <w:numPr>
          <w:ilvl w:val="0"/>
          <w:numId w:val="30"/>
        </w:numPr>
        <w:shd w:val="clear" w:color="auto" w:fill="FFFFFF"/>
        <w:spacing w:before="100" w:beforeAutospacing="1" w:after="100" w:afterAutospacing="1"/>
        <w:rPr>
          <w:rFonts w:ascii="Book Antiqua" w:eastAsia="Times New Roman" w:hAnsi="Book Antiqua"/>
          <w:color w:val="333333"/>
          <w:szCs w:val="22"/>
          <w:lang w:val="en-GB" w:eastAsia="en-GB"/>
        </w:rPr>
      </w:pPr>
      <w:r w:rsidRPr="00A46022">
        <w:rPr>
          <w:rFonts w:ascii="Book Antiqua" w:eastAsia="Times New Roman" w:hAnsi="Book Antiqua"/>
          <w:color w:val="333333"/>
          <w:szCs w:val="22"/>
          <w:lang w:val="en-GB" w:eastAsia="en-GB"/>
        </w:rPr>
        <w:t>Always ensure remuneration to commercial fundraisers engaged to fundraise for a charitable organisation is not excessive when compared to money or goods received for the charitable purpose of the fundraising.</w:t>
      </w:r>
    </w:p>
    <w:p w14:paraId="2CC5E2F9" w14:textId="77777777" w:rsidR="00481863" w:rsidRDefault="00481863" w:rsidP="005B1D31">
      <w:pPr>
        <w:rPr>
          <w:rFonts w:ascii="Book Antiqua" w:hAnsi="Book Antiqua"/>
          <w:b/>
          <w:bCs/>
        </w:rPr>
      </w:pPr>
    </w:p>
    <w:p w14:paraId="4A393B21" w14:textId="77777777" w:rsidR="00481863" w:rsidRDefault="00481863" w:rsidP="005B1D31">
      <w:pPr>
        <w:rPr>
          <w:rFonts w:ascii="Book Antiqua" w:hAnsi="Book Antiqua"/>
          <w:b/>
          <w:bCs/>
        </w:rPr>
      </w:pPr>
    </w:p>
    <w:p w14:paraId="72792C93" w14:textId="77777777" w:rsidR="00481863" w:rsidRDefault="00481863" w:rsidP="005B1D31">
      <w:pPr>
        <w:rPr>
          <w:rFonts w:ascii="Book Antiqua" w:hAnsi="Book Antiqua"/>
          <w:b/>
          <w:bCs/>
        </w:rPr>
      </w:pPr>
    </w:p>
    <w:p w14:paraId="4A0E79D2" w14:textId="222EA4E8" w:rsidR="005B1D31" w:rsidRPr="005B1D31" w:rsidRDefault="005B1D31" w:rsidP="005B1D31">
      <w:pPr>
        <w:rPr>
          <w:rFonts w:ascii="Book Antiqua" w:hAnsi="Book Antiqua"/>
          <w:b/>
          <w:bCs/>
        </w:rPr>
      </w:pPr>
      <w:r w:rsidRPr="005B1D31">
        <w:rPr>
          <w:rFonts w:ascii="Book Antiqua" w:hAnsi="Book Antiqua"/>
          <w:b/>
          <w:bCs/>
        </w:rPr>
        <w:lastRenderedPageBreak/>
        <w:t xml:space="preserve">Donations </w:t>
      </w:r>
    </w:p>
    <w:p w14:paraId="28645B10" w14:textId="77777777" w:rsidR="005B1D31" w:rsidRPr="005B1D31" w:rsidRDefault="005B1D31" w:rsidP="005B1D31">
      <w:pPr>
        <w:rPr>
          <w:rFonts w:ascii="Book Antiqua" w:hAnsi="Book Antiqua"/>
        </w:rPr>
      </w:pPr>
      <w:r w:rsidRPr="005B1D31">
        <w:rPr>
          <w:rFonts w:ascii="Book Antiqua" w:hAnsi="Book Antiqua"/>
        </w:rPr>
        <w:t xml:space="preserve">By completing a donation, you accept our terms and conditions and privacy policy. You understand you can cease communication or access and request deletion of personal information by emailing </w:t>
      </w:r>
      <w:hyperlink r:id="rId11" w:history="1">
        <w:r w:rsidRPr="005B1D31">
          <w:rPr>
            <w:rStyle w:val="Hyperlink"/>
            <w:rFonts w:ascii="Book Antiqua" w:hAnsi="Book Antiqua"/>
          </w:rPr>
          <w:t>compliance@feedtheworld.org.au</w:t>
        </w:r>
      </w:hyperlink>
      <w:r w:rsidRPr="005B1D31">
        <w:rPr>
          <w:rFonts w:ascii="Book Antiqua" w:hAnsi="Book Antiqua"/>
        </w:rPr>
        <w:t xml:space="preserve"> </w:t>
      </w:r>
    </w:p>
    <w:p w14:paraId="2D062C43" w14:textId="77777777" w:rsidR="005B1D31" w:rsidRPr="005B1D31" w:rsidRDefault="005B1D31" w:rsidP="005B1D31">
      <w:pPr>
        <w:rPr>
          <w:rFonts w:ascii="Book Antiqua" w:hAnsi="Book Antiqua"/>
        </w:rPr>
      </w:pPr>
      <w:r w:rsidRPr="005B1D31">
        <w:rPr>
          <w:rFonts w:ascii="Book Antiqua" w:hAnsi="Book Antiqua"/>
        </w:rPr>
        <w:t xml:space="preserve">All donations are gifts made to Feed the world limited (ABN 69 662 863 667), a public benevolent institution registered with the Australian Charities and Not for Profit Commission and endorsed by the Australian Tax Office (ATO) as a tax concession charity and deductible gift recipient. </w:t>
      </w:r>
    </w:p>
    <w:p w14:paraId="60DCC9B3" w14:textId="77777777" w:rsidR="005B1D31" w:rsidRPr="005B1D31" w:rsidRDefault="005B1D31" w:rsidP="005B1D31">
      <w:pPr>
        <w:rPr>
          <w:rFonts w:ascii="Book Antiqua" w:hAnsi="Book Antiqua"/>
        </w:rPr>
      </w:pPr>
      <w:r w:rsidRPr="005B1D31">
        <w:rPr>
          <w:rFonts w:ascii="Book Antiqua" w:hAnsi="Book Antiqua"/>
        </w:rPr>
        <w:t xml:space="preserve">Feed the world accepts all donations made in good faith whether they be singular or recurring. Donors </w:t>
      </w:r>
      <w:proofErr w:type="gramStart"/>
      <w:r w:rsidRPr="005B1D31">
        <w:rPr>
          <w:rFonts w:ascii="Book Antiqua" w:hAnsi="Book Antiqua"/>
        </w:rPr>
        <w:t>have the ability to</w:t>
      </w:r>
      <w:proofErr w:type="gramEnd"/>
      <w:r w:rsidRPr="005B1D31">
        <w:rPr>
          <w:rFonts w:ascii="Book Antiqua" w:hAnsi="Book Antiqua"/>
        </w:rPr>
        <w:t xml:space="preserve"> select their donation type and where they would prefer their donation to go. Sometimes circumstances beyond the control of Feed the World may mean that donation to a specific region may no longer be available as such if your donation was yet to be utilised in the most similar project or within the same programme. Donation type will always be respected which mean zakat will always and only be spent to zakat eligible causes. </w:t>
      </w:r>
    </w:p>
    <w:p w14:paraId="1132BD2F" w14:textId="77777777" w:rsidR="005B1D31" w:rsidRPr="005B1D31" w:rsidRDefault="005B1D31" w:rsidP="005B1D31">
      <w:pPr>
        <w:rPr>
          <w:rFonts w:ascii="Book Antiqua" w:hAnsi="Book Antiqua"/>
        </w:rPr>
      </w:pPr>
      <w:r w:rsidRPr="005B1D31">
        <w:rPr>
          <w:rFonts w:ascii="Book Antiqua" w:hAnsi="Book Antiqua"/>
        </w:rPr>
        <w:t xml:space="preserve">Donors </w:t>
      </w:r>
      <w:proofErr w:type="gramStart"/>
      <w:r w:rsidRPr="005B1D31">
        <w:rPr>
          <w:rFonts w:ascii="Book Antiqua" w:hAnsi="Book Antiqua"/>
        </w:rPr>
        <w:t>have the ability to</w:t>
      </w:r>
      <w:proofErr w:type="gramEnd"/>
      <w:r w:rsidRPr="005B1D31">
        <w:rPr>
          <w:rFonts w:ascii="Book Antiqua" w:hAnsi="Book Antiqua"/>
        </w:rPr>
        <w:t xml:space="preserve"> donate online via our secure payment providers. Feed the World does not store credit card details within our own database this is outsourced to our secure payments providers for a fee that can be offset by the donor. The information that is collected by Feed the World is to process and enhance the donation and marketing experience of our charitable projects to our donors. Information that maybe collected but is not limited to Full Name, Address, phone number, email address, donation preferences etc. </w:t>
      </w:r>
    </w:p>
    <w:p w14:paraId="62906FCA" w14:textId="43C71FDE" w:rsidR="005B1D31" w:rsidRPr="005B1D31" w:rsidRDefault="005B1D31" w:rsidP="005B1D31">
      <w:pPr>
        <w:rPr>
          <w:rFonts w:ascii="Book Antiqua" w:hAnsi="Book Antiqua"/>
        </w:rPr>
      </w:pPr>
      <w:r w:rsidRPr="005B1D31">
        <w:rPr>
          <w:rFonts w:ascii="Book Antiqua" w:hAnsi="Book Antiqua"/>
        </w:rPr>
        <w:t xml:space="preserve">Feed the World will issue donors with a tax-deductible receipt upon request; it is the </w:t>
      </w:r>
      <w:r w:rsidRPr="005B1D31">
        <w:rPr>
          <w:rFonts w:ascii="Book Antiqua" w:hAnsi="Book Antiqua"/>
        </w:rPr>
        <w:t>donor’s</w:t>
      </w:r>
      <w:r w:rsidRPr="005B1D31">
        <w:rPr>
          <w:rFonts w:ascii="Book Antiqua" w:hAnsi="Book Antiqua"/>
        </w:rPr>
        <w:t xml:space="preserve"> responsibility to highlight any errors and only submit correct receipts to the ATO. The ATO may contact </w:t>
      </w:r>
      <w:r>
        <w:rPr>
          <w:rFonts w:ascii="Book Antiqua" w:hAnsi="Book Antiqua"/>
        </w:rPr>
        <w:t>FTW</w:t>
      </w:r>
      <w:r w:rsidRPr="005B1D31">
        <w:rPr>
          <w:rFonts w:ascii="Book Antiqua" w:hAnsi="Book Antiqua"/>
        </w:rPr>
        <w:t xml:space="preserve"> to validate a submitted receipt. </w:t>
      </w:r>
    </w:p>
    <w:p w14:paraId="5A1D8FAB" w14:textId="77777777" w:rsidR="005B1D31" w:rsidRPr="005B1D31" w:rsidRDefault="005B1D31" w:rsidP="005B1D31">
      <w:pPr>
        <w:rPr>
          <w:rFonts w:ascii="Book Antiqua" w:hAnsi="Book Antiqua"/>
        </w:rPr>
      </w:pPr>
      <w:r w:rsidRPr="005B1D31">
        <w:rPr>
          <w:rFonts w:ascii="Book Antiqua" w:hAnsi="Book Antiqua"/>
        </w:rPr>
        <w:t>Funds which will not be accepted for donation if:</w:t>
      </w:r>
    </w:p>
    <w:p w14:paraId="3B1D738E" w14:textId="77777777" w:rsidR="005B1D31" w:rsidRPr="005B1D31" w:rsidRDefault="005B1D31" w:rsidP="005B1D31">
      <w:pPr>
        <w:pStyle w:val="ListParagraph"/>
        <w:numPr>
          <w:ilvl w:val="1"/>
          <w:numId w:val="32"/>
        </w:numPr>
        <w:spacing w:before="0" w:after="160" w:line="259" w:lineRule="auto"/>
      </w:pPr>
      <w:r w:rsidRPr="005B1D31">
        <w:t xml:space="preserve">There is reason to believe the donor is in vulnerable circumstances and/or lacks the capacity to </w:t>
      </w:r>
      <w:proofErr w:type="gramStart"/>
      <w:r w:rsidRPr="005B1D31">
        <w:t>make a decision</w:t>
      </w:r>
      <w:proofErr w:type="gramEnd"/>
      <w:r w:rsidRPr="005B1D31">
        <w:t xml:space="preserve"> to donate. </w:t>
      </w:r>
    </w:p>
    <w:p w14:paraId="73E6DFA8" w14:textId="77777777" w:rsidR="005B1D31" w:rsidRPr="005B1D31" w:rsidRDefault="005B1D31" w:rsidP="005B1D31">
      <w:pPr>
        <w:pStyle w:val="ListParagraph"/>
        <w:numPr>
          <w:ilvl w:val="1"/>
          <w:numId w:val="32"/>
        </w:numPr>
        <w:spacing w:before="0" w:after="160" w:line="259" w:lineRule="auto"/>
      </w:pPr>
      <w:r w:rsidRPr="005B1D31">
        <w:t>Accepting donations which go against the objectives, mission, and policies of Feed the World Limited.</w:t>
      </w:r>
    </w:p>
    <w:p w14:paraId="7B1F1E66" w14:textId="77777777" w:rsidR="005B1D31" w:rsidRPr="005B1D31" w:rsidRDefault="005B1D31" w:rsidP="005B1D31">
      <w:pPr>
        <w:pStyle w:val="ListParagraph"/>
        <w:numPr>
          <w:ilvl w:val="1"/>
          <w:numId w:val="32"/>
        </w:numPr>
        <w:spacing w:before="0" w:after="160" w:line="259" w:lineRule="auto"/>
      </w:pPr>
      <w:r w:rsidRPr="005B1D31">
        <w:t xml:space="preserve">Cost of accepting the donation will be greater than the donation itself. </w:t>
      </w:r>
    </w:p>
    <w:p w14:paraId="73DE1E52" w14:textId="3E4BEF76" w:rsidR="005B1D31" w:rsidRPr="005B1D31" w:rsidRDefault="005B1D31" w:rsidP="005B1D31">
      <w:pPr>
        <w:pStyle w:val="ListParagraph"/>
        <w:numPr>
          <w:ilvl w:val="1"/>
          <w:numId w:val="32"/>
        </w:numPr>
        <w:spacing w:before="0" w:after="160" w:line="259" w:lineRule="auto"/>
      </w:pPr>
      <w:r w:rsidRPr="005B1D31">
        <w:t xml:space="preserve">When litigation may arise </w:t>
      </w:r>
      <w:r>
        <w:t>due</w:t>
      </w:r>
      <w:r w:rsidRPr="005B1D31">
        <w:t xml:space="preserve"> </w:t>
      </w:r>
      <w:r>
        <w:t>to</w:t>
      </w:r>
      <w:r w:rsidRPr="005B1D31">
        <w:t xml:space="preserve"> a donation.</w:t>
      </w:r>
    </w:p>
    <w:p w14:paraId="2B3E25F4" w14:textId="77777777" w:rsidR="005B1D31" w:rsidRDefault="005B1D31" w:rsidP="005B1D31">
      <w:pPr>
        <w:rPr>
          <w:rFonts w:ascii="Book Antiqua" w:hAnsi="Book Antiqua"/>
        </w:rPr>
      </w:pPr>
      <w:r w:rsidRPr="005B1D31">
        <w:rPr>
          <w:rFonts w:ascii="Book Antiqua" w:hAnsi="Book Antiqua"/>
        </w:rPr>
        <w:t xml:space="preserve">Funds raised which are contrary to our values. Feed the world will not accept funds if there is reason to believe the prospective donation is sourced from Illicit activities, gambling, alcohol and drugs, Tabacco, nudity/sexual imagery, exploitation, violence. </w:t>
      </w:r>
    </w:p>
    <w:p w14:paraId="1B235167" w14:textId="77777777" w:rsidR="005B1D31" w:rsidRPr="005B1D31" w:rsidRDefault="005B1D31" w:rsidP="005B1D31">
      <w:pPr>
        <w:rPr>
          <w:rFonts w:ascii="Book Antiqua" w:hAnsi="Book Antiqua"/>
          <w:b/>
          <w:bCs/>
        </w:rPr>
      </w:pPr>
      <w:r w:rsidRPr="005B1D31">
        <w:rPr>
          <w:rFonts w:ascii="Book Antiqua" w:hAnsi="Book Antiqua"/>
          <w:b/>
          <w:bCs/>
        </w:rPr>
        <w:t>Refund</w:t>
      </w:r>
    </w:p>
    <w:p w14:paraId="34F6AB65" w14:textId="11D7C259" w:rsidR="005B1D31" w:rsidRPr="005B1D31" w:rsidRDefault="005B1D31" w:rsidP="005B1D31">
      <w:pPr>
        <w:rPr>
          <w:rFonts w:ascii="Book Antiqua" w:hAnsi="Book Antiqua"/>
        </w:rPr>
      </w:pPr>
      <w:r w:rsidRPr="005B1D31">
        <w:rPr>
          <w:rFonts w:ascii="Book Antiqua" w:hAnsi="Book Antiqua"/>
        </w:rPr>
        <w:t xml:space="preserve">Feed the World is a charity registered with the Australian Charities and Not for Profit Commission and as such is not required to issue a refund for a donation made. Any donation, gift or contribution made via the website, selected by the </w:t>
      </w:r>
      <w:proofErr w:type="gramStart"/>
      <w:r w:rsidRPr="005B1D31">
        <w:rPr>
          <w:rFonts w:ascii="Book Antiqua" w:hAnsi="Book Antiqua"/>
        </w:rPr>
        <w:t>user</w:t>
      </w:r>
      <w:proofErr w:type="gramEnd"/>
      <w:r w:rsidRPr="005B1D31">
        <w:rPr>
          <w:rFonts w:ascii="Book Antiqua" w:hAnsi="Book Antiqua"/>
        </w:rPr>
        <w:t xml:space="preserve"> and inserting their credit card details is final and undisputable. Feed the world understands their maybe exceptional circumstances which may constitute a refund; within 60 days of the debited amount a donor may submit a request for refund by sending the following details email to </w:t>
      </w:r>
      <w:hyperlink r:id="rId12" w:history="1">
        <w:r w:rsidRPr="005B1D31">
          <w:rPr>
            <w:rStyle w:val="Hyperlink"/>
            <w:rFonts w:ascii="Book Antiqua" w:hAnsi="Book Antiqua"/>
          </w:rPr>
          <w:t>compliance@feedtheworld.org.au</w:t>
        </w:r>
      </w:hyperlink>
      <w:r>
        <w:rPr>
          <w:rFonts w:ascii="Book Antiqua" w:hAnsi="Book Antiqua"/>
        </w:rPr>
        <w:t xml:space="preserve"> or </w:t>
      </w:r>
      <w:hyperlink r:id="rId13" w:history="1">
        <w:r w:rsidRPr="002B6AC6">
          <w:rPr>
            <w:rStyle w:val="Hyperlink"/>
            <w:rFonts w:ascii="Book Antiqua" w:hAnsi="Book Antiqua"/>
          </w:rPr>
          <w:t>Ceo@feedtheworld.org.au</w:t>
        </w:r>
      </w:hyperlink>
      <w:r w:rsidRPr="005B1D31">
        <w:rPr>
          <w:rFonts w:ascii="Book Antiqua" w:hAnsi="Book Antiqua"/>
        </w:rPr>
        <w:t xml:space="preserve">. Requests received after this deadline will not be considered. </w:t>
      </w:r>
    </w:p>
    <w:p w14:paraId="761A0666" w14:textId="77777777" w:rsidR="005B1D31" w:rsidRPr="005B1D31" w:rsidRDefault="005B1D31" w:rsidP="005B1D31">
      <w:pPr>
        <w:pStyle w:val="ListParagraph"/>
        <w:numPr>
          <w:ilvl w:val="0"/>
          <w:numId w:val="33"/>
        </w:numPr>
      </w:pPr>
      <w:r w:rsidRPr="005B1D31">
        <w:t xml:space="preserve">Full name, address, email, phone number: </w:t>
      </w:r>
    </w:p>
    <w:p w14:paraId="5F74668C" w14:textId="77777777" w:rsidR="005B1D31" w:rsidRPr="005B1D31" w:rsidRDefault="005B1D31" w:rsidP="005B1D31">
      <w:pPr>
        <w:pStyle w:val="ListParagraph"/>
        <w:numPr>
          <w:ilvl w:val="0"/>
          <w:numId w:val="33"/>
        </w:numPr>
      </w:pPr>
      <w:r w:rsidRPr="005B1D31">
        <w:t xml:space="preserve">Donated Amount: </w:t>
      </w:r>
    </w:p>
    <w:p w14:paraId="0F8EED7E" w14:textId="77777777" w:rsidR="005B1D31" w:rsidRPr="005B1D31" w:rsidRDefault="005B1D31" w:rsidP="005B1D31">
      <w:pPr>
        <w:pStyle w:val="ListParagraph"/>
        <w:numPr>
          <w:ilvl w:val="0"/>
          <w:numId w:val="33"/>
        </w:numPr>
      </w:pPr>
      <w:r w:rsidRPr="005B1D31">
        <w:lastRenderedPageBreak/>
        <w:t>Donation reference number:</w:t>
      </w:r>
    </w:p>
    <w:p w14:paraId="7939AC13" w14:textId="77777777" w:rsidR="005B1D31" w:rsidRPr="005B1D31" w:rsidRDefault="005B1D31" w:rsidP="005B1D31">
      <w:pPr>
        <w:pStyle w:val="ListParagraph"/>
        <w:numPr>
          <w:ilvl w:val="0"/>
          <w:numId w:val="33"/>
        </w:numPr>
      </w:pPr>
      <w:r w:rsidRPr="005B1D31">
        <w:t xml:space="preserve">What error occurred: </w:t>
      </w:r>
    </w:p>
    <w:p w14:paraId="348B42AC" w14:textId="4AC6F215" w:rsidR="005B1D31" w:rsidRPr="005B1D31" w:rsidRDefault="005B1D31" w:rsidP="005B1D31">
      <w:pPr>
        <w:pStyle w:val="ListParagraph"/>
        <w:numPr>
          <w:ilvl w:val="0"/>
          <w:numId w:val="33"/>
        </w:numPr>
      </w:pPr>
      <w:r w:rsidRPr="005B1D31">
        <w:t xml:space="preserve">Any information you believe is </w:t>
      </w:r>
      <w:r w:rsidRPr="005B1D31">
        <w:t xml:space="preserve">reason </w:t>
      </w:r>
      <w:r w:rsidRPr="005B1D31">
        <w:t xml:space="preserve">for exceptional circumstances for refund. </w:t>
      </w:r>
    </w:p>
    <w:p w14:paraId="75D164D0" w14:textId="335C8F54" w:rsidR="005B1D31" w:rsidRPr="005B1D31" w:rsidRDefault="005B1D31" w:rsidP="005B1D31">
      <w:pPr>
        <w:pStyle w:val="ListParagraph"/>
        <w:numPr>
          <w:ilvl w:val="0"/>
          <w:numId w:val="33"/>
        </w:numPr>
      </w:pPr>
      <w:r w:rsidRPr="005B1D31">
        <w:t>Supporting evidence</w:t>
      </w:r>
      <w:r>
        <w:t xml:space="preserve"> (screenshots)</w:t>
      </w:r>
    </w:p>
    <w:p w14:paraId="5D899E5E" w14:textId="77777777" w:rsidR="005B1D31" w:rsidRPr="005B1D31" w:rsidRDefault="005B1D31" w:rsidP="005B1D31">
      <w:pPr>
        <w:rPr>
          <w:rFonts w:ascii="Book Antiqua" w:hAnsi="Book Antiqua"/>
        </w:rPr>
      </w:pPr>
      <w:r w:rsidRPr="005B1D31">
        <w:rPr>
          <w:rFonts w:ascii="Book Antiqua" w:hAnsi="Book Antiqua"/>
        </w:rPr>
        <w:t xml:space="preserve">Upon receipt of this information the Feed the World team will within 14 days advise you of the approval or disproval of the refund request. </w:t>
      </w:r>
    </w:p>
    <w:p w14:paraId="038D6CD8" w14:textId="77777777" w:rsidR="005B1D31" w:rsidRPr="005B1D31" w:rsidRDefault="005B1D31" w:rsidP="005B1D31">
      <w:pPr>
        <w:rPr>
          <w:rFonts w:ascii="Book Antiqua" w:hAnsi="Book Antiqua"/>
        </w:rPr>
      </w:pPr>
      <w:r w:rsidRPr="005B1D31">
        <w:rPr>
          <w:rFonts w:ascii="Book Antiqua" w:hAnsi="Book Antiqua"/>
        </w:rPr>
        <w:t xml:space="preserve">Should a partial refund be granted an adjusted or new tax donation receipt maybe issued rendering the original receipt void. Should a full refund be </w:t>
      </w:r>
      <w:proofErr w:type="gramStart"/>
      <w:r w:rsidRPr="005B1D31">
        <w:rPr>
          <w:rFonts w:ascii="Book Antiqua" w:hAnsi="Book Antiqua"/>
        </w:rPr>
        <w:t>give</w:t>
      </w:r>
      <w:proofErr w:type="gramEnd"/>
      <w:r w:rsidRPr="005B1D31">
        <w:rPr>
          <w:rFonts w:ascii="Book Antiqua" w:hAnsi="Book Antiqua"/>
        </w:rPr>
        <w:t xml:space="preserve"> it would render the original receipt void and invalid. It is the individual’s responsibility to only submit accurate receipts to the ATO. </w:t>
      </w:r>
    </w:p>
    <w:p w14:paraId="63955523" w14:textId="77777777" w:rsidR="005B1D31" w:rsidRPr="005B1D31" w:rsidRDefault="005B1D31" w:rsidP="005B1D31">
      <w:pPr>
        <w:rPr>
          <w:rFonts w:ascii="Book Antiqua" w:hAnsi="Book Antiqua"/>
        </w:rPr>
      </w:pPr>
      <w:r w:rsidRPr="005B1D31">
        <w:rPr>
          <w:rFonts w:ascii="Book Antiqua" w:hAnsi="Book Antiqua"/>
        </w:rPr>
        <w:t xml:space="preserve">Should a refund be approved Feed the World is a not-for-profit charity that maintains its right to deduct costs and fees associated with issuing the refund from the donation. </w:t>
      </w:r>
    </w:p>
    <w:p w14:paraId="4E61DB35" w14:textId="77777777" w:rsidR="005B1D31" w:rsidRDefault="005B1D31" w:rsidP="005B1D31">
      <w:pPr>
        <w:rPr>
          <w:rFonts w:ascii="Book Antiqua" w:hAnsi="Book Antiqua"/>
        </w:rPr>
      </w:pPr>
    </w:p>
    <w:p w14:paraId="3F91E39A" w14:textId="5D8F00C8" w:rsidR="00BE6CC7" w:rsidRPr="00852521" w:rsidRDefault="00BE6CC7" w:rsidP="00AA6AFF">
      <w:pPr>
        <w:pStyle w:val="Heading2"/>
        <w:rPr>
          <w:lang w:val="en-AU"/>
        </w:rPr>
      </w:pPr>
      <w:r w:rsidRPr="00852521">
        <w:rPr>
          <w:lang w:val="en-AU"/>
        </w:rPr>
        <w:t>Authorisation</w:t>
      </w:r>
    </w:p>
    <w:p w14:paraId="6A869792" w14:textId="77777777" w:rsidR="00940827" w:rsidRPr="00852521" w:rsidRDefault="00940827" w:rsidP="00782588">
      <w:pPr>
        <w:rPr>
          <w:color w:val="808080"/>
          <w:szCs w:val="22"/>
        </w:rPr>
      </w:pPr>
    </w:p>
    <w:p w14:paraId="4DCB2E25" w14:textId="77777777" w:rsidR="00940827" w:rsidRPr="00852521" w:rsidRDefault="009C2A35" w:rsidP="00782588">
      <w:pPr>
        <w:rPr>
          <w:color w:val="808080"/>
          <w:szCs w:val="22"/>
        </w:rPr>
      </w:pPr>
      <w:r w:rsidRPr="00852521">
        <w:rPr>
          <w:color w:val="808080"/>
          <w:szCs w:val="22"/>
        </w:rPr>
        <w:t>[</w:t>
      </w:r>
      <w:r w:rsidR="00782588" w:rsidRPr="00852521">
        <w:rPr>
          <w:color w:val="808080"/>
          <w:szCs w:val="22"/>
        </w:rPr>
        <w:t xml:space="preserve">Signature of </w:t>
      </w:r>
      <w:r w:rsidR="00940827" w:rsidRPr="00852521">
        <w:rPr>
          <w:color w:val="808080"/>
          <w:szCs w:val="22"/>
        </w:rPr>
        <w:t>Responsible Persons/CEO</w:t>
      </w:r>
      <w:r w:rsidRPr="00852521">
        <w:rPr>
          <w:color w:val="808080"/>
          <w:szCs w:val="22"/>
        </w:rPr>
        <w:t>]</w:t>
      </w:r>
      <w:r w:rsidR="00782588" w:rsidRPr="00852521">
        <w:rPr>
          <w:color w:val="808080"/>
          <w:szCs w:val="22"/>
        </w:rPr>
        <w:br/>
      </w:r>
    </w:p>
    <w:p w14:paraId="12D9EF7D" w14:textId="77777777" w:rsidR="00940827" w:rsidRPr="00852521" w:rsidRDefault="00940827" w:rsidP="00782588">
      <w:pPr>
        <w:rPr>
          <w:color w:val="808080"/>
          <w:szCs w:val="22"/>
        </w:rPr>
      </w:pPr>
    </w:p>
    <w:p w14:paraId="22A8BCB5" w14:textId="576C5265" w:rsidR="00940827" w:rsidRPr="00852521" w:rsidRDefault="009C2A35" w:rsidP="00782588">
      <w:pPr>
        <w:rPr>
          <w:color w:val="808080"/>
          <w:szCs w:val="22"/>
        </w:rPr>
      </w:pPr>
      <w:r w:rsidRPr="00852521">
        <w:rPr>
          <w:color w:val="808080"/>
          <w:szCs w:val="22"/>
        </w:rPr>
        <w:t>[Name]</w:t>
      </w:r>
      <w:r w:rsidR="00782588" w:rsidRPr="00852521">
        <w:rPr>
          <w:color w:val="808080"/>
          <w:szCs w:val="22"/>
        </w:rPr>
        <w:br/>
      </w:r>
    </w:p>
    <w:p w14:paraId="748AAE07" w14:textId="77777777" w:rsidR="00940827" w:rsidRPr="00852521" w:rsidRDefault="00940827" w:rsidP="00782588">
      <w:pPr>
        <w:rPr>
          <w:color w:val="808080"/>
          <w:szCs w:val="22"/>
        </w:rPr>
      </w:pPr>
    </w:p>
    <w:p w14:paraId="5AD55725" w14:textId="3E5C4332" w:rsidR="00782588" w:rsidRPr="00852521" w:rsidRDefault="009C2A35" w:rsidP="00782588">
      <w:pPr>
        <w:rPr>
          <w:color w:val="808080"/>
          <w:szCs w:val="22"/>
        </w:rPr>
      </w:pPr>
      <w:r w:rsidRPr="00852521">
        <w:rPr>
          <w:color w:val="808080"/>
          <w:szCs w:val="22"/>
        </w:rPr>
        <w:t>[Date]</w:t>
      </w:r>
    </w:p>
    <w:p w14:paraId="4A00F622" w14:textId="3FC8278F" w:rsidR="00C31FE1" w:rsidRPr="00852521" w:rsidRDefault="00C31FE1" w:rsidP="004F4F65">
      <w:pPr>
        <w:pStyle w:val="Heading2"/>
        <w:rPr>
          <w:lang w:val="en-AU"/>
        </w:rPr>
      </w:pPr>
    </w:p>
    <w:sectPr w:rsidR="00C31FE1" w:rsidRPr="00852521" w:rsidSect="00FC2349">
      <w:headerReference w:type="default" r:id="rId14"/>
      <w:footerReference w:type="default" r:id="rId15"/>
      <w:headerReference w:type="first" r:id="rId16"/>
      <w:footerReference w:type="first" r:id="rId17"/>
      <w:pgSz w:w="11900" w:h="16840"/>
      <w:pgMar w:top="1440" w:right="1552" w:bottom="1440"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8480" w14:textId="77777777" w:rsidR="0026437F" w:rsidRDefault="0026437F" w:rsidP="00BE6CC7">
      <w:pPr>
        <w:spacing w:before="0" w:after="0"/>
      </w:pPr>
      <w:r>
        <w:separator/>
      </w:r>
    </w:p>
  </w:endnote>
  <w:endnote w:type="continuationSeparator" w:id="0">
    <w:p w14:paraId="2F2A22D3" w14:textId="77777777" w:rsidR="0026437F" w:rsidRDefault="0026437F"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311"/>
    </w:tblGrid>
    <w:tr w:rsidR="009A7658" w:rsidRPr="009A7658" w14:paraId="75AC94EC" w14:textId="77777777" w:rsidTr="00A31E8E">
      <w:tc>
        <w:tcPr>
          <w:tcW w:w="4311" w:type="dxa"/>
        </w:tcPr>
        <w:p w14:paraId="5E9263F1" w14:textId="77777777" w:rsidR="009A7658" w:rsidRPr="009A7658" w:rsidRDefault="009A7658" w:rsidP="009A7658">
          <w:pPr>
            <w:pStyle w:val="Header"/>
            <w:rPr>
              <w:sz w:val="20"/>
              <w:szCs w:val="22"/>
            </w:rPr>
          </w:pPr>
          <w:r>
            <w:rPr>
              <w:sz w:val="20"/>
              <w:szCs w:val="22"/>
            </w:rPr>
            <w:t>Governance Framework – Policies &amp; Procedures</w:t>
          </w:r>
        </w:p>
      </w:tc>
      <w:tc>
        <w:tcPr>
          <w:tcW w:w="4311" w:type="dxa"/>
        </w:tcPr>
        <w:p w14:paraId="311109AA" w14:textId="3C2F50D0" w:rsidR="009A7658" w:rsidRPr="009A7658" w:rsidRDefault="009A7658" w:rsidP="009A7658">
          <w:pPr>
            <w:pStyle w:val="Footer"/>
            <w:jc w:val="right"/>
          </w:pPr>
          <w:r w:rsidRPr="009A7658">
            <w:rPr>
              <w:color w:val="7F7F7F"/>
              <w:spacing w:val="60"/>
            </w:rPr>
            <w:t>Page</w:t>
          </w:r>
          <w:r>
            <w:t xml:space="preserve"> | </w:t>
          </w:r>
          <w:r>
            <w:fldChar w:fldCharType="begin"/>
          </w:r>
          <w:r>
            <w:instrText xml:space="preserve"> PAGE   \* MERGEFORMAT </w:instrText>
          </w:r>
          <w:r>
            <w:fldChar w:fldCharType="separate"/>
          </w:r>
          <w:r>
            <w:t>3</w:t>
          </w:r>
          <w:r>
            <w:rPr>
              <w:b/>
              <w:bCs/>
              <w:noProof/>
            </w:rPr>
            <w:fldChar w:fldCharType="end"/>
          </w:r>
        </w:p>
      </w:tc>
    </w:tr>
  </w:tbl>
  <w:p w14:paraId="20F6E71A" w14:textId="1D75C907" w:rsidR="009A7658" w:rsidRDefault="009A7658" w:rsidP="009A7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311"/>
    </w:tblGrid>
    <w:tr w:rsidR="00657166" w:rsidRPr="009A7658" w14:paraId="4FCD7819" w14:textId="77777777" w:rsidTr="00D64E07">
      <w:tc>
        <w:tcPr>
          <w:tcW w:w="4311" w:type="dxa"/>
        </w:tcPr>
        <w:p w14:paraId="23020F50" w14:textId="77777777" w:rsidR="00657166" w:rsidRPr="009A7658" w:rsidRDefault="00657166" w:rsidP="00657166">
          <w:pPr>
            <w:pStyle w:val="Header"/>
            <w:rPr>
              <w:sz w:val="20"/>
              <w:szCs w:val="22"/>
            </w:rPr>
          </w:pPr>
          <w:r>
            <w:rPr>
              <w:sz w:val="20"/>
              <w:szCs w:val="22"/>
            </w:rPr>
            <w:t>Governance Framework – Policies &amp; Procedures</w:t>
          </w:r>
        </w:p>
      </w:tc>
      <w:tc>
        <w:tcPr>
          <w:tcW w:w="4311" w:type="dxa"/>
        </w:tcPr>
        <w:p w14:paraId="211222CB" w14:textId="77777777" w:rsidR="00657166" w:rsidRPr="009A7658" w:rsidRDefault="00657166" w:rsidP="00657166">
          <w:pPr>
            <w:pStyle w:val="Footer"/>
            <w:jc w:val="right"/>
          </w:pPr>
          <w:r w:rsidRPr="009A7658">
            <w:rPr>
              <w:color w:val="7F7F7F"/>
              <w:spacing w:val="60"/>
            </w:rPr>
            <w:t>Page</w:t>
          </w:r>
          <w:r>
            <w:t xml:space="preserve"> | </w:t>
          </w:r>
          <w:r>
            <w:fldChar w:fldCharType="begin"/>
          </w:r>
          <w:r>
            <w:instrText xml:space="preserve"> PAGE   \* MERGEFORMAT </w:instrText>
          </w:r>
          <w:r>
            <w:fldChar w:fldCharType="separate"/>
          </w:r>
          <w:r>
            <w:t>3</w:t>
          </w:r>
          <w:r>
            <w:rPr>
              <w:b/>
              <w:bCs/>
              <w:noProof/>
            </w:rPr>
            <w:fldChar w:fldCharType="end"/>
          </w:r>
        </w:p>
      </w:tc>
    </w:tr>
  </w:tbl>
  <w:p w14:paraId="4C84F043" w14:textId="77777777" w:rsidR="00657166" w:rsidRDefault="00657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BEFE" w14:textId="77777777" w:rsidR="0026437F" w:rsidRDefault="0026437F" w:rsidP="00BE6CC7">
      <w:pPr>
        <w:spacing w:before="0" w:after="0"/>
      </w:pPr>
      <w:r>
        <w:separator/>
      </w:r>
    </w:p>
  </w:footnote>
  <w:footnote w:type="continuationSeparator" w:id="0">
    <w:p w14:paraId="7B7D8CE6" w14:textId="77777777" w:rsidR="0026437F" w:rsidRDefault="0026437F" w:rsidP="00BE6C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311"/>
    </w:tblGrid>
    <w:tr w:rsidR="009A7658" w:rsidRPr="009A7658" w14:paraId="6E92EAB2" w14:textId="77777777" w:rsidTr="00A31E8E">
      <w:tc>
        <w:tcPr>
          <w:tcW w:w="4311" w:type="dxa"/>
        </w:tcPr>
        <w:p w14:paraId="60BC78C6" w14:textId="18BBA005" w:rsidR="009A7658" w:rsidRPr="009A7658" w:rsidRDefault="00657166" w:rsidP="009A7658">
          <w:pPr>
            <w:pStyle w:val="Header"/>
            <w:rPr>
              <w:sz w:val="20"/>
              <w:szCs w:val="22"/>
            </w:rPr>
          </w:pPr>
          <w:r>
            <w:rPr>
              <w:sz w:val="20"/>
              <w:szCs w:val="22"/>
            </w:rPr>
            <w:t>Feed The World</w:t>
          </w:r>
        </w:p>
      </w:tc>
      <w:tc>
        <w:tcPr>
          <w:tcW w:w="4311" w:type="dxa"/>
        </w:tcPr>
        <w:p w14:paraId="39723CCA" w14:textId="055F2184" w:rsidR="009A7658" w:rsidRPr="009A7658" w:rsidRDefault="00481863" w:rsidP="009A7658">
          <w:pPr>
            <w:pStyle w:val="Header"/>
            <w:jc w:val="right"/>
            <w:rPr>
              <w:sz w:val="20"/>
              <w:szCs w:val="22"/>
            </w:rPr>
          </w:pPr>
          <w:r>
            <w:rPr>
              <w:sz w:val="20"/>
              <w:szCs w:val="22"/>
            </w:rPr>
            <w:t>Fundraising, Donation and Refund</w:t>
          </w:r>
          <w:r w:rsidRPr="009A7658">
            <w:rPr>
              <w:sz w:val="20"/>
              <w:szCs w:val="22"/>
            </w:rPr>
            <w:t xml:space="preserve"> Policy</w:t>
          </w:r>
        </w:p>
      </w:tc>
    </w:tr>
  </w:tbl>
  <w:p w14:paraId="66DE80F9" w14:textId="77777777" w:rsidR="00EC1F4B" w:rsidRDefault="00EC1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4862"/>
    </w:tblGrid>
    <w:tr w:rsidR="009661A0" w:rsidRPr="009A7658" w14:paraId="3A081534" w14:textId="77777777" w:rsidTr="00FC2349">
      <w:tc>
        <w:tcPr>
          <w:tcW w:w="4210" w:type="dxa"/>
        </w:tcPr>
        <w:p w14:paraId="58D7A1AA" w14:textId="66ADE355" w:rsidR="009661A0" w:rsidRPr="009A7658" w:rsidRDefault="00A91D48" w:rsidP="00FC2349">
          <w:pPr>
            <w:pStyle w:val="Header"/>
            <w:tabs>
              <w:tab w:val="clear" w:pos="8640"/>
              <w:tab w:val="right" w:pos="3990"/>
            </w:tabs>
            <w:rPr>
              <w:sz w:val="20"/>
              <w:szCs w:val="22"/>
            </w:rPr>
          </w:pPr>
          <w:r>
            <w:rPr>
              <w:sz w:val="20"/>
              <w:szCs w:val="22"/>
            </w:rPr>
            <w:t>Feed The World</w:t>
          </w:r>
        </w:p>
      </w:tc>
      <w:tc>
        <w:tcPr>
          <w:tcW w:w="4862" w:type="dxa"/>
        </w:tcPr>
        <w:p w14:paraId="6361CD26" w14:textId="202C81D1" w:rsidR="009661A0" w:rsidRPr="009A7658" w:rsidRDefault="00481863" w:rsidP="009A7658">
          <w:pPr>
            <w:pStyle w:val="Header"/>
            <w:jc w:val="right"/>
            <w:rPr>
              <w:sz w:val="20"/>
              <w:szCs w:val="22"/>
            </w:rPr>
          </w:pPr>
          <w:r>
            <w:rPr>
              <w:sz w:val="20"/>
              <w:szCs w:val="22"/>
            </w:rPr>
            <w:t xml:space="preserve">Fundraising, </w:t>
          </w:r>
          <w:r w:rsidR="00C0578A">
            <w:rPr>
              <w:sz w:val="20"/>
              <w:szCs w:val="22"/>
            </w:rPr>
            <w:t>Donation and Refund</w:t>
          </w:r>
          <w:r w:rsidR="009A7658" w:rsidRPr="009A7658">
            <w:rPr>
              <w:sz w:val="20"/>
              <w:szCs w:val="22"/>
            </w:rPr>
            <w:t xml:space="preserve"> Policy</w:t>
          </w:r>
        </w:p>
      </w:tc>
    </w:tr>
  </w:tbl>
  <w:p w14:paraId="666183D5" w14:textId="77777777" w:rsidR="009661A0" w:rsidRDefault="00966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700"/>
    <w:multiLevelType w:val="multilevel"/>
    <w:tmpl w:val="492E00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556C9"/>
    <w:multiLevelType w:val="hybridMultilevel"/>
    <w:tmpl w:val="6F28EC30"/>
    <w:lvl w:ilvl="0" w:tplc="0C090001">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043301"/>
    <w:multiLevelType w:val="hybridMultilevel"/>
    <w:tmpl w:val="E2600C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8968C4"/>
    <w:multiLevelType w:val="hybridMultilevel"/>
    <w:tmpl w:val="7AA0AB40"/>
    <w:lvl w:ilvl="0" w:tplc="2A1E275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83FE5"/>
    <w:multiLevelType w:val="hybridMultilevel"/>
    <w:tmpl w:val="CBA06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4135F"/>
    <w:multiLevelType w:val="hybridMultilevel"/>
    <w:tmpl w:val="8BBC1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15A5EE6"/>
    <w:multiLevelType w:val="hybridMultilevel"/>
    <w:tmpl w:val="72F0EC0E"/>
    <w:lvl w:ilvl="0" w:tplc="6F626D3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91F69D2"/>
    <w:multiLevelType w:val="singleLevel"/>
    <w:tmpl w:val="A232F2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A486B8A"/>
    <w:multiLevelType w:val="hybridMultilevel"/>
    <w:tmpl w:val="D2C8F5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1806C90"/>
    <w:multiLevelType w:val="hybridMultilevel"/>
    <w:tmpl w:val="3D1EF4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E61A91"/>
    <w:multiLevelType w:val="multilevel"/>
    <w:tmpl w:val="B2446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412EF"/>
    <w:multiLevelType w:val="hybridMultilevel"/>
    <w:tmpl w:val="1590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F77C06"/>
    <w:multiLevelType w:val="hybridMultilevel"/>
    <w:tmpl w:val="BF6AD236"/>
    <w:lvl w:ilvl="0" w:tplc="5AFAA858">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521C97"/>
    <w:multiLevelType w:val="multilevel"/>
    <w:tmpl w:val="B2446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41B1D"/>
    <w:multiLevelType w:val="hybridMultilevel"/>
    <w:tmpl w:val="DA6049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503390"/>
    <w:multiLevelType w:val="multilevel"/>
    <w:tmpl w:val="BAE09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6C18A9"/>
    <w:multiLevelType w:val="hybridMultilevel"/>
    <w:tmpl w:val="A682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643E64"/>
    <w:multiLevelType w:val="multilevel"/>
    <w:tmpl w:val="8EA861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8F3EE0"/>
    <w:multiLevelType w:val="hybridMultilevel"/>
    <w:tmpl w:val="1F42A8D4"/>
    <w:lvl w:ilvl="0" w:tplc="9F005F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D53403"/>
    <w:multiLevelType w:val="hybridMultilevel"/>
    <w:tmpl w:val="5754CE5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5DF0911"/>
    <w:multiLevelType w:val="hybridMultilevel"/>
    <w:tmpl w:val="F842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914DA"/>
    <w:multiLevelType w:val="hybridMultilevel"/>
    <w:tmpl w:val="ED64B3DE"/>
    <w:lvl w:ilvl="0" w:tplc="F5043D16">
      <w:start w:val="1"/>
      <w:numFmt w:val="decimal"/>
      <w:pStyle w:val="ListParagraph"/>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7906979"/>
    <w:multiLevelType w:val="hybridMultilevel"/>
    <w:tmpl w:val="2CB8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222E1"/>
    <w:multiLevelType w:val="hybridMultilevel"/>
    <w:tmpl w:val="1F42A8D4"/>
    <w:lvl w:ilvl="0" w:tplc="9F005F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8D2273"/>
    <w:multiLevelType w:val="hybridMultilevel"/>
    <w:tmpl w:val="78A488F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5" w15:restartNumberingAfterBreak="0">
    <w:nsid w:val="68705E35"/>
    <w:multiLevelType w:val="hybridMultilevel"/>
    <w:tmpl w:val="CEF6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3427D7"/>
    <w:multiLevelType w:val="hybridMultilevel"/>
    <w:tmpl w:val="38CEB6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6F916C92"/>
    <w:multiLevelType w:val="hybridMultilevel"/>
    <w:tmpl w:val="D39A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1874D8"/>
    <w:multiLevelType w:val="hybridMultilevel"/>
    <w:tmpl w:val="BB041D26"/>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9" w15:restartNumberingAfterBreak="0">
    <w:nsid w:val="7A9E53B2"/>
    <w:multiLevelType w:val="hybridMultilevel"/>
    <w:tmpl w:val="0FF20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DF32D55"/>
    <w:multiLevelType w:val="hybridMultilevel"/>
    <w:tmpl w:val="A9861C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EEE52D5"/>
    <w:multiLevelType w:val="hybridMultilevel"/>
    <w:tmpl w:val="F028CC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98671633">
    <w:abstractNumId w:val="7"/>
  </w:num>
  <w:num w:numId="2" w16cid:durableId="833254239">
    <w:abstractNumId w:val="24"/>
  </w:num>
  <w:num w:numId="3" w16cid:durableId="1004476381">
    <w:abstractNumId w:val="3"/>
  </w:num>
  <w:num w:numId="4" w16cid:durableId="810638564">
    <w:abstractNumId w:val="22"/>
  </w:num>
  <w:num w:numId="5" w16cid:durableId="852525052">
    <w:abstractNumId w:val="1"/>
  </w:num>
  <w:num w:numId="6" w16cid:durableId="568685810">
    <w:abstractNumId w:val="12"/>
  </w:num>
  <w:num w:numId="7" w16cid:durableId="1868331945">
    <w:abstractNumId w:val="30"/>
  </w:num>
  <w:num w:numId="8" w16cid:durableId="1330645021">
    <w:abstractNumId w:val="4"/>
  </w:num>
  <w:num w:numId="9" w16cid:durableId="1762288762">
    <w:abstractNumId w:val="16"/>
  </w:num>
  <w:num w:numId="10" w16cid:durableId="496573713">
    <w:abstractNumId w:val="26"/>
  </w:num>
  <w:num w:numId="11" w16cid:durableId="430276506">
    <w:abstractNumId w:val="5"/>
  </w:num>
  <w:num w:numId="12" w16cid:durableId="457408236">
    <w:abstractNumId w:val="28"/>
  </w:num>
  <w:num w:numId="13" w16cid:durableId="1873884525">
    <w:abstractNumId w:val="25"/>
  </w:num>
  <w:num w:numId="14" w16cid:durableId="213468525">
    <w:abstractNumId w:val="14"/>
  </w:num>
  <w:num w:numId="15" w16cid:durableId="1335841295">
    <w:abstractNumId w:val="8"/>
  </w:num>
  <w:num w:numId="16" w16cid:durableId="1281372643">
    <w:abstractNumId w:val="31"/>
  </w:num>
  <w:num w:numId="17" w16cid:durableId="1333683070">
    <w:abstractNumId w:val="2"/>
  </w:num>
  <w:num w:numId="18" w16cid:durableId="957494955">
    <w:abstractNumId w:val="18"/>
  </w:num>
  <w:num w:numId="19" w16cid:durableId="1848519223">
    <w:abstractNumId w:val="29"/>
  </w:num>
  <w:num w:numId="20" w16cid:durableId="647051269">
    <w:abstractNumId w:val="9"/>
  </w:num>
  <w:num w:numId="21" w16cid:durableId="1181896066">
    <w:abstractNumId w:val="11"/>
  </w:num>
  <w:num w:numId="22" w16cid:durableId="247421950">
    <w:abstractNumId w:val="6"/>
  </w:num>
  <w:num w:numId="23" w16cid:durableId="1606498376">
    <w:abstractNumId w:val="23"/>
  </w:num>
  <w:num w:numId="24" w16cid:durableId="910189155">
    <w:abstractNumId w:val="21"/>
  </w:num>
  <w:num w:numId="25" w16cid:durableId="1731415394">
    <w:abstractNumId w:val="27"/>
  </w:num>
  <w:num w:numId="26" w16cid:durableId="230312923">
    <w:abstractNumId w:val="20"/>
  </w:num>
  <w:num w:numId="27" w16cid:durableId="215089305">
    <w:abstractNumId w:val="19"/>
  </w:num>
  <w:num w:numId="28" w16cid:durableId="16080524">
    <w:abstractNumId w:val="15"/>
  </w:num>
  <w:num w:numId="29" w16cid:durableId="1557931645">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355543996">
    <w:abstractNumId w:val="17"/>
  </w:num>
  <w:num w:numId="31" w16cid:durableId="1077440270">
    <w:abstractNumId w:val="0"/>
  </w:num>
  <w:num w:numId="32" w16cid:durableId="1599100401">
    <w:abstractNumId w:val="10"/>
  </w:num>
  <w:num w:numId="33" w16cid:durableId="168493300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C7"/>
    <w:rsid w:val="0001574F"/>
    <w:rsid w:val="000238BF"/>
    <w:rsid w:val="0003423F"/>
    <w:rsid w:val="00046DBF"/>
    <w:rsid w:val="00050E59"/>
    <w:rsid w:val="0005479C"/>
    <w:rsid w:val="00065DC5"/>
    <w:rsid w:val="00067994"/>
    <w:rsid w:val="000A6C8B"/>
    <w:rsid w:val="000B0D06"/>
    <w:rsid w:val="000B3423"/>
    <w:rsid w:val="000C6C30"/>
    <w:rsid w:val="000D4F39"/>
    <w:rsid w:val="000D58C7"/>
    <w:rsid w:val="000D7727"/>
    <w:rsid w:val="000D7AD8"/>
    <w:rsid w:val="000F06FC"/>
    <w:rsid w:val="000F36B2"/>
    <w:rsid w:val="001418A8"/>
    <w:rsid w:val="00145E98"/>
    <w:rsid w:val="00171C79"/>
    <w:rsid w:val="001A5653"/>
    <w:rsid w:val="001D15A2"/>
    <w:rsid w:val="002013A7"/>
    <w:rsid w:val="00203C1F"/>
    <w:rsid w:val="002126E0"/>
    <w:rsid w:val="0022519A"/>
    <w:rsid w:val="002332FC"/>
    <w:rsid w:val="00244692"/>
    <w:rsid w:val="00245377"/>
    <w:rsid w:val="0025778F"/>
    <w:rsid w:val="002611E6"/>
    <w:rsid w:val="0026437F"/>
    <w:rsid w:val="00285C99"/>
    <w:rsid w:val="002903C4"/>
    <w:rsid w:val="002A5EFE"/>
    <w:rsid w:val="002D26CD"/>
    <w:rsid w:val="002D7376"/>
    <w:rsid w:val="003113FF"/>
    <w:rsid w:val="00340544"/>
    <w:rsid w:val="00356788"/>
    <w:rsid w:val="00360ECD"/>
    <w:rsid w:val="00361C00"/>
    <w:rsid w:val="00362A3A"/>
    <w:rsid w:val="003755BC"/>
    <w:rsid w:val="003917FE"/>
    <w:rsid w:val="00392EAA"/>
    <w:rsid w:val="00392EC6"/>
    <w:rsid w:val="003A3F14"/>
    <w:rsid w:val="003B7BDC"/>
    <w:rsid w:val="003C4ABF"/>
    <w:rsid w:val="003D26DB"/>
    <w:rsid w:val="003D6D4F"/>
    <w:rsid w:val="003E24D9"/>
    <w:rsid w:val="004130CA"/>
    <w:rsid w:val="00420420"/>
    <w:rsid w:val="00426160"/>
    <w:rsid w:val="00442AE3"/>
    <w:rsid w:val="004558A0"/>
    <w:rsid w:val="00461839"/>
    <w:rsid w:val="004727F1"/>
    <w:rsid w:val="00481863"/>
    <w:rsid w:val="00487EC3"/>
    <w:rsid w:val="004A3622"/>
    <w:rsid w:val="004E05AF"/>
    <w:rsid w:val="004E4635"/>
    <w:rsid w:val="004F2813"/>
    <w:rsid w:val="004F302A"/>
    <w:rsid w:val="004F4F65"/>
    <w:rsid w:val="00503FFA"/>
    <w:rsid w:val="00530AE1"/>
    <w:rsid w:val="00554A6A"/>
    <w:rsid w:val="00562D52"/>
    <w:rsid w:val="005923E5"/>
    <w:rsid w:val="005940EC"/>
    <w:rsid w:val="005B1D31"/>
    <w:rsid w:val="005C49CA"/>
    <w:rsid w:val="00653967"/>
    <w:rsid w:val="00657166"/>
    <w:rsid w:val="00673AE7"/>
    <w:rsid w:val="006746EB"/>
    <w:rsid w:val="006B15BC"/>
    <w:rsid w:val="006E69F0"/>
    <w:rsid w:val="006F0E25"/>
    <w:rsid w:val="006F3902"/>
    <w:rsid w:val="007015D5"/>
    <w:rsid w:val="00705AC6"/>
    <w:rsid w:val="0072670F"/>
    <w:rsid w:val="007333D2"/>
    <w:rsid w:val="00753A7C"/>
    <w:rsid w:val="00756940"/>
    <w:rsid w:val="00762FBA"/>
    <w:rsid w:val="00763A9A"/>
    <w:rsid w:val="007678A5"/>
    <w:rsid w:val="00771DCD"/>
    <w:rsid w:val="0077610F"/>
    <w:rsid w:val="00782588"/>
    <w:rsid w:val="007B15B0"/>
    <w:rsid w:val="007B618B"/>
    <w:rsid w:val="007E3518"/>
    <w:rsid w:val="007F1F49"/>
    <w:rsid w:val="007F4B9C"/>
    <w:rsid w:val="00825987"/>
    <w:rsid w:val="00840DE1"/>
    <w:rsid w:val="00844417"/>
    <w:rsid w:val="00847B8C"/>
    <w:rsid w:val="00852521"/>
    <w:rsid w:val="00870A7D"/>
    <w:rsid w:val="008C01A4"/>
    <w:rsid w:val="008D0EA7"/>
    <w:rsid w:val="008E41C7"/>
    <w:rsid w:val="008F548E"/>
    <w:rsid w:val="008F66DA"/>
    <w:rsid w:val="00906BB2"/>
    <w:rsid w:val="009253A1"/>
    <w:rsid w:val="00940827"/>
    <w:rsid w:val="00947292"/>
    <w:rsid w:val="00950CA7"/>
    <w:rsid w:val="00952028"/>
    <w:rsid w:val="00957351"/>
    <w:rsid w:val="009661A0"/>
    <w:rsid w:val="0097258E"/>
    <w:rsid w:val="009820FA"/>
    <w:rsid w:val="00985CBC"/>
    <w:rsid w:val="00987DD7"/>
    <w:rsid w:val="009A3B63"/>
    <w:rsid w:val="009A7658"/>
    <w:rsid w:val="009B2DFB"/>
    <w:rsid w:val="009C2A35"/>
    <w:rsid w:val="009E642A"/>
    <w:rsid w:val="00A310B2"/>
    <w:rsid w:val="00A46022"/>
    <w:rsid w:val="00A72B11"/>
    <w:rsid w:val="00A7443B"/>
    <w:rsid w:val="00A80E5B"/>
    <w:rsid w:val="00A91D48"/>
    <w:rsid w:val="00A94263"/>
    <w:rsid w:val="00A95C88"/>
    <w:rsid w:val="00AA4080"/>
    <w:rsid w:val="00AA5DDE"/>
    <w:rsid w:val="00AA6AFF"/>
    <w:rsid w:val="00AD3063"/>
    <w:rsid w:val="00AD6321"/>
    <w:rsid w:val="00AE4258"/>
    <w:rsid w:val="00B1127F"/>
    <w:rsid w:val="00B131F2"/>
    <w:rsid w:val="00B2354E"/>
    <w:rsid w:val="00B32F6D"/>
    <w:rsid w:val="00B36501"/>
    <w:rsid w:val="00B40AD8"/>
    <w:rsid w:val="00B4373D"/>
    <w:rsid w:val="00B73304"/>
    <w:rsid w:val="00B9356F"/>
    <w:rsid w:val="00BA0DCB"/>
    <w:rsid w:val="00BD524F"/>
    <w:rsid w:val="00BE6CC7"/>
    <w:rsid w:val="00BF2ADF"/>
    <w:rsid w:val="00BF74C4"/>
    <w:rsid w:val="00C0578A"/>
    <w:rsid w:val="00C16492"/>
    <w:rsid w:val="00C31FE1"/>
    <w:rsid w:val="00C47972"/>
    <w:rsid w:val="00C51832"/>
    <w:rsid w:val="00CA225E"/>
    <w:rsid w:val="00CB2BDA"/>
    <w:rsid w:val="00CB6256"/>
    <w:rsid w:val="00CB6860"/>
    <w:rsid w:val="00CD276F"/>
    <w:rsid w:val="00CD4234"/>
    <w:rsid w:val="00CF3095"/>
    <w:rsid w:val="00CF6DB7"/>
    <w:rsid w:val="00D22520"/>
    <w:rsid w:val="00D41D04"/>
    <w:rsid w:val="00D47BD0"/>
    <w:rsid w:val="00D50F62"/>
    <w:rsid w:val="00D54026"/>
    <w:rsid w:val="00D55F0A"/>
    <w:rsid w:val="00D62B21"/>
    <w:rsid w:val="00D82D42"/>
    <w:rsid w:val="00D85959"/>
    <w:rsid w:val="00D940E7"/>
    <w:rsid w:val="00DC40CA"/>
    <w:rsid w:val="00DE133D"/>
    <w:rsid w:val="00E34244"/>
    <w:rsid w:val="00E5743B"/>
    <w:rsid w:val="00E80803"/>
    <w:rsid w:val="00E95047"/>
    <w:rsid w:val="00EC1F4B"/>
    <w:rsid w:val="00ED459F"/>
    <w:rsid w:val="00ED6578"/>
    <w:rsid w:val="00EE0B08"/>
    <w:rsid w:val="00EF636A"/>
    <w:rsid w:val="00F25993"/>
    <w:rsid w:val="00F44986"/>
    <w:rsid w:val="00F4531B"/>
    <w:rsid w:val="00F527EF"/>
    <w:rsid w:val="00F73DCF"/>
    <w:rsid w:val="00F8767B"/>
    <w:rsid w:val="00FA44D9"/>
    <w:rsid w:val="00FC2349"/>
    <w:rsid w:val="00FD4B5C"/>
    <w:rsid w:val="00FE615B"/>
    <w:rsid w:val="00FF5F67"/>
    <w:rsid w:val="01245F6A"/>
    <w:rsid w:val="044BA6F2"/>
    <w:rsid w:val="0D06C5DE"/>
    <w:rsid w:val="0D5C1B48"/>
    <w:rsid w:val="0EAAB160"/>
    <w:rsid w:val="1AD8F9C6"/>
    <w:rsid w:val="28524B74"/>
    <w:rsid w:val="2BDB57A4"/>
    <w:rsid w:val="30510F1D"/>
    <w:rsid w:val="316D482E"/>
    <w:rsid w:val="3C3681C4"/>
    <w:rsid w:val="40855ADF"/>
    <w:rsid w:val="41C8F063"/>
    <w:rsid w:val="41F5AD86"/>
    <w:rsid w:val="44047AD9"/>
    <w:rsid w:val="44637AEB"/>
    <w:rsid w:val="477E4884"/>
    <w:rsid w:val="5EDFE37E"/>
    <w:rsid w:val="6DEB01AD"/>
    <w:rsid w:val="6F1D370D"/>
    <w:rsid w:val="7E00653C"/>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66564"/>
  <w15:chartTrackingRefBased/>
  <w15:docId w15:val="{C4DE0610-B907-4018-97A2-1B05B783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A7C"/>
    <w:pPr>
      <w:spacing w:before="60" w:after="120"/>
    </w:pPr>
    <w:rPr>
      <w:sz w:val="22"/>
      <w:szCs w:val="24"/>
      <w:lang w:eastAsia="en-US"/>
    </w:rPr>
  </w:style>
  <w:style w:type="paragraph" w:styleId="Heading1">
    <w:name w:val="heading 1"/>
    <w:basedOn w:val="Normal"/>
    <w:next w:val="Normal"/>
    <w:link w:val="Heading1Char"/>
    <w:uiPriority w:val="9"/>
    <w:semiHidden/>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unhideWhenUsed/>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semiHidden/>
    <w:unhideWhenUsed/>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semiHidden/>
    <w:unhideWhenUsed/>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semiHidden/>
    <w:unhideWhenUsed/>
    <w:qFormat/>
    <w:rsid w:val="007B618B"/>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7B618B"/>
    <w:p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7B618B"/>
    <w:pPr>
      <w:spacing w:before="240" w:after="60"/>
      <w:outlineLvl w:val="6"/>
    </w:pPr>
    <w:rPr>
      <w:rFonts w:eastAsia="Times New Roman"/>
      <w:sz w:val="24"/>
    </w:rPr>
  </w:style>
  <w:style w:type="paragraph" w:styleId="Heading8">
    <w:name w:val="heading 8"/>
    <w:basedOn w:val="Normal"/>
    <w:next w:val="Normal"/>
    <w:link w:val="Heading8Char"/>
    <w:uiPriority w:val="9"/>
    <w:semiHidden/>
    <w:unhideWhenUsed/>
    <w:qFormat/>
    <w:rsid w:val="007B618B"/>
    <w:pPr>
      <w:spacing w:before="240" w:after="60"/>
      <w:outlineLvl w:val="7"/>
    </w:pPr>
    <w:rPr>
      <w:rFonts w:eastAsia="Times New Roman"/>
      <w:i/>
      <w:iCs/>
      <w:sz w:val="24"/>
    </w:rPr>
  </w:style>
  <w:style w:type="paragraph" w:styleId="Heading9">
    <w:name w:val="heading 9"/>
    <w:basedOn w:val="Normal"/>
    <w:next w:val="Normal"/>
    <w:link w:val="Heading9Char"/>
    <w:uiPriority w:val="9"/>
    <w:semiHidden/>
    <w:unhideWhenUsed/>
    <w:qFormat/>
    <w:rsid w:val="007B618B"/>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semiHidden/>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Cs w:val="20"/>
      <w:lang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uiPriority w:val="99"/>
    <w:rsid w:val="00D55F0A"/>
    <w:rPr>
      <w:color w:val="0000FF"/>
      <w:u w:val="single"/>
    </w:rPr>
  </w:style>
  <w:style w:type="paragraph" w:styleId="Subtitle">
    <w:name w:val="Subtitle"/>
    <w:basedOn w:val="Normal"/>
    <w:link w:val="SubtitleChar"/>
    <w:qFormat/>
    <w:rsid w:val="00753A7C"/>
    <w:pPr>
      <w:spacing w:before="0" w:after="0"/>
      <w:jc w:val="both"/>
    </w:pPr>
    <w:rPr>
      <w:rFonts w:ascii="Arial" w:eastAsia="Times New Roman" w:hAnsi="Arial"/>
      <w:b/>
      <w:szCs w:val="20"/>
      <w:lang w:eastAsia="x-none"/>
    </w:rPr>
  </w:style>
  <w:style w:type="character" w:customStyle="1" w:styleId="SubtitleChar">
    <w:name w:val="Subtitle Char"/>
    <w:link w:val="Subtitle"/>
    <w:rsid w:val="00753A7C"/>
    <w:rPr>
      <w:rFonts w:ascii="Arial" w:eastAsia="Times New Roman" w:hAnsi="Arial" w:cs="Times New Roman"/>
      <w:b/>
      <w:sz w:val="22"/>
      <w:szCs w:val="20"/>
      <w:lang w:val="en-AU"/>
    </w:rPr>
  </w:style>
  <w:style w:type="paragraph" w:customStyle="1" w:styleId="level1">
    <w:name w:val="level1"/>
    <w:basedOn w:val="Normal"/>
    <w:rsid w:val="00753A7C"/>
    <w:pPr>
      <w:spacing w:before="100" w:beforeAutospacing="1" w:after="100" w:afterAutospacing="1"/>
    </w:pPr>
    <w:rPr>
      <w:rFonts w:ascii="Times New Roman" w:eastAsia="Times New Roman" w:hAnsi="Times New Roman"/>
      <w:sz w:val="24"/>
    </w:rPr>
  </w:style>
  <w:style w:type="paragraph" w:styleId="BodyText">
    <w:name w:val="Body Text"/>
    <w:basedOn w:val="Normal"/>
    <w:link w:val="BodyTextChar"/>
    <w:rsid w:val="007F4B9C"/>
    <w:pPr>
      <w:keepLines/>
      <w:spacing w:before="240"/>
    </w:pPr>
    <w:rPr>
      <w:rFonts w:ascii="Book Antiqua" w:eastAsia="Times New Roman" w:hAnsi="Book Antiqua"/>
      <w:szCs w:val="22"/>
      <w:lang w:eastAsia="x-none"/>
    </w:rPr>
  </w:style>
  <w:style w:type="character" w:customStyle="1" w:styleId="BodyTextChar">
    <w:name w:val="Body Text Char"/>
    <w:link w:val="BodyText"/>
    <w:rsid w:val="007F4B9C"/>
    <w:rPr>
      <w:rFonts w:ascii="Book Antiqua" w:eastAsia="Times New Roman" w:hAnsi="Book Antiqua"/>
      <w:sz w:val="22"/>
      <w:szCs w:val="22"/>
      <w:lang w:eastAsia="x-none"/>
    </w:rPr>
  </w:style>
  <w:style w:type="paragraph" w:customStyle="1" w:styleId="BodyText1">
    <w:name w:val="Body Text1"/>
    <w:rsid w:val="004E05AF"/>
    <w:pPr>
      <w:spacing w:before="1" w:after="1" w:line="280" w:lineRule="atLeast"/>
      <w:ind w:left="1" w:right="1" w:firstLine="1"/>
      <w:jc w:val="both"/>
    </w:pPr>
    <w:rPr>
      <w:rFonts w:ascii="Bookman" w:eastAsia="Times New Roman" w:hAnsi="Bookman"/>
      <w:color w:val="000000"/>
      <w:sz w:val="22"/>
      <w:lang w:val="en-GB" w:eastAsia="en-US"/>
    </w:rPr>
  </w:style>
  <w:style w:type="paragraph" w:styleId="List">
    <w:name w:val="List"/>
    <w:basedOn w:val="Normal"/>
    <w:rsid w:val="004E05AF"/>
    <w:pPr>
      <w:spacing w:before="240" w:after="0"/>
      <w:ind w:left="360" w:hanging="360"/>
    </w:pPr>
    <w:rPr>
      <w:rFonts w:ascii="Book Antiqua" w:eastAsia="Times New Roman" w:hAnsi="Book Antiqua"/>
      <w:sz w:val="24"/>
      <w:szCs w:val="20"/>
    </w:rPr>
  </w:style>
  <w:style w:type="paragraph" w:styleId="ListBullet">
    <w:name w:val="List Bullet"/>
    <w:basedOn w:val="Normal"/>
    <w:autoRedefine/>
    <w:rsid w:val="007678A5"/>
    <w:pPr>
      <w:numPr>
        <w:numId w:val="1"/>
      </w:numPr>
      <w:tabs>
        <w:tab w:val="clear" w:pos="360"/>
        <w:tab w:val="num" w:pos="709"/>
      </w:tabs>
      <w:spacing w:before="0" w:after="0"/>
      <w:ind w:left="709" w:hanging="425"/>
    </w:pPr>
    <w:rPr>
      <w:rFonts w:ascii="Book Antiqua" w:eastAsia="Times New Roman" w:hAnsi="Book Antiqua"/>
      <w:color w:val="000000"/>
      <w:szCs w:val="18"/>
    </w:rPr>
  </w:style>
  <w:style w:type="character" w:customStyle="1" w:styleId="Heading5Char">
    <w:name w:val="Heading 5 Char"/>
    <w:link w:val="Heading5"/>
    <w:uiPriority w:val="9"/>
    <w:semiHidden/>
    <w:rsid w:val="007B618B"/>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7B618B"/>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7B618B"/>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7B618B"/>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7B618B"/>
    <w:rPr>
      <w:rFonts w:ascii="Cambria" w:eastAsia="Times New Roman" w:hAnsi="Cambria" w:cs="Times New Roman"/>
      <w:sz w:val="22"/>
      <w:szCs w:val="22"/>
      <w:lang w:val="en-US" w:eastAsia="en-US"/>
    </w:rPr>
  </w:style>
  <w:style w:type="paragraph" w:customStyle="1" w:styleId="MLBodyText">
    <w:name w:val="ML Body Text"/>
    <w:basedOn w:val="BodyText"/>
    <w:qFormat/>
    <w:rsid w:val="007B618B"/>
    <w:pPr>
      <w:spacing w:after="0" w:line="240" w:lineRule="atLeast"/>
    </w:pPr>
    <w:rPr>
      <w:rFonts w:ascii="Arial" w:eastAsia="Arial" w:hAnsi="Arial"/>
      <w:sz w:val="23"/>
      <w:szCs w:val="23"/>
      <w:lang w:eastAsia="zh-CN"/>
    </w:rPr>
  </w:style>
  <w:style w:type="paragraph" w:styleId="ListParagraph">
    <w:name w:val="List Paragraph"/>
    <w:basedOn w:val="Normal"/>
    <w:uiPriority w:val="34"/>
    <w:qFormat/>
    <w:rsid w:val="007678A5"/>
    <w:pPr>
      <w:numPr>
        <w:numId w:val="24"/>
      </w:numPr>
      <w:contextualSpacing/>
    </w:pPr>
    <w:rPr>
      <w:rFonts w:ascii="Book Antiqua" w:hAnsi="Book Antiqua"/>
    </w:rPr>
  </w:style>
  <w:style w:type="table" w:styleId="GridTable5Dark-Accent2">
    <w:name w:val="Grid Table 5 Dark Accent 2"/>
    <w:basedOn w:val="TableNormal"/>
    <w:uiPriority w:val="50"/>
    <w:rsid w:val="007761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3">
    <w:name w:val="Grid Table 1 Light Accent 3"/>
    <w:basedOn w:val="TableNormal"/>
    <w:uiPriority w:val="46"/>
    <w:rsid w:val="006571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46022"/>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A46022"/>
    <w:rPr>
      <w:i/>
      <w:iCs/>
    </w:rPr>
  </w:style>
  <w:style w:type="character" w:styleId="UnresolvedMention">
    <w:name w:val="Unresolved Mention"/>
    <w:basedOn w:val="DefaultParagraphFont"/>
    <w:uiPriority w:val="99"/>
    <w:semiHidden/>
    <w:unhideWhenUsed/>
    <w:rsid w:val="005B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9089">
      <w:bodyDiv w:val="1"/>
      <w:marLeft w:val="0"/>
      <w:marRight w:val="0"/>
      <w:marTop w:val="0"/>
      <w:marBottom w:val="0"/>
      <w:divBdr>
        <w:top w:val="none" w:sz="0" w:space="0" w:color="auto"/>
        <w:left w:val="none" w:sz="0" w:space="0" w:color="auto"/>
        <w:bottom w:val="none" w:sz="0" w:space="0" w:color="auto"/>
        <w:right w:val="none" w:sz="0" w:space="0" w:color="auto"/>
      </w:divBdr>
    </w:div>
    <w:div w:id="190535790">
      <w:bodyDiv w:val="1"/>
      <w:marLeft w:val="0"/>
      <w:marRight w:val="0"/>
      <w:marTop w:val="0"/>
      <w:marBottom w:val="0"/>
      <w:divBdr>
        <w:top w:val="none" w:sz="0" w:space="0" w:color="auto"/>
        <w:left w:val="none" w:sz="0" w:space="0" w:color="auto"/>
        <w:bottom w:val="none" w:sz="0" w:space="0" w:color="auto"/>
        <w:right w:val="none" w:sz="0" w:space="0" w:color="auto"/>
      </w:divBdr>
    </w:div>
    <w:div w:id="258485372">
      <w:bodyDiv w:val="1"/>
      <w:marLeft w:val="0"/>
      <w:marRight w:val="0"/>
      <w:marTop w:val="0"/>
      <w:marBottom w:val="0"/>
      <w:divBdr>
        <w:top w:val="none" w:sz="0" w:space="0" w:color="auto"/>
        <w:left w:val="none" w:sz="0" w:space="0" w:color="auto"/>
        <w:bottom w:val="none" w:sz="0" w:space="0" w:color="auto"/>
        <w:right w:val="none" w:sz="0" w:space="0" w:color="auto"/>
      </w:divBdr>
    </w:div>
    <w:div w:id="506093524">
      <w:bodyDiv w:val="1"/>
      <w:marLeft w:val="0"/>
      <w:marRight w:val="0"/>
      <w:marTop w:val="0"/>
      <w:marBottom w:val="0"/>
      <w:divBdr>
        <w:top w:val="none" w:sz="0" w:space="0" w:color="auto"/>
        <w:left w:val="none" w:sz="0" w:space="0" w:color="auto"/>
        <w:bottom w:val="none" w:sz="0" w:space="0" w:color="auto"/>
        <w:right w:val="none" w:sz="0" w:space="0" w:color="auto"/>
      </w:divBdr>
    </w:div>
    <w:div w:id="653919902">
      <w:bodyDiv w:val="1"/>
      <w:marLeft w:val="0"/>
      <w:marRight w:val="0"/>
      <w:marTop w:val="0"/>
      <w:marBottom w:val="0"/>
      <w:divBdr>
        <w:top w:val="none" w:sz="0" w:space="0" w:color="auto"/>
        <w:left w:val="none" w:sz="0" w:space="0" w:color="auto"/>
        <w:bottom w:val="none" w:sz="0" w:space="0" w:color="auto"/>
        <w:right w:val="none" w:sz="0" w:space="0" w:color="auto"/>
      </w:divBdr>
    </w:div>
    <w:div w:id="718554633">
      <w:bodyDiv w:val="1"/>
      <w:marLeft w:val="0"/>
      <w:marRight w:val="0"/>
      <w:marTop w:val="0"/>
      <w:marBottom w:val="0"/>
      <w:divBdr>
        <w:top w:val="none" w:sz="0" w:space="0" w:color="auto"/>
        <w:left w:val="none" w:sz="0" w:space="0" w:color="auto"/>
        <w:bottom w:val="none" w:sz="0" w:space="0" w:color="auto"/>
        <w:right w:val="none" w:sz="0" w:space="0" w:color="auto"/>
      </w:divBdr>
    </w:div>
    <w:div w:id="906376344">
      <w:bodyDiv w:val="1"/>
      <w:marLeft w:val="0"/>
      <w:marRight w:val="0"/>
      <w:marTop w:val="0"/>
      <w:marBottom w:val="0"/>
      <w:divBdr>
        <w:top w:val="none" w:sz="0" w:space="0" w:color="auto"/>
        <w:left w:val="none" w:sz="0" w:space="0" w:color="auto"/>
        <w:bottom w:val="none" w:sz="0" w:space="0" w:color="auto"/>
        <w:right w:val="none" w:sz="0" w:space="0" w:color="auto"/>
      </w:divBdr>
    </w:div>
    <w:div w:id="1115057431">
      <w:bodyDiv w:val="1"/>
      <w:marLeft w:val="0"/>
      <w:marRight w:val="0"/>
      <w:marTop w:val="0"/>
      <w:marBottom w:val="0"/>
      <w:divBdr>
        <w:top w:val="none" w:sz="0" w:space="0" w:color="auto"/>
        <w:left w:val="none" w:sz="0" w:space="0" w:color="auto"/>
        <w:bottom w:val="none" w:sz="0" w:space="0" w:color="auto"/>
        <w:right w:val="none" w:sz="0" w:space="0" w:color="auto"/>
      </w:divBdr>
    </w:div>
    <w:div w:id="1285696163">
      <w:bodyDiv w:val="1"/>
      <w:marLeft w:val="0"/>
      <w:marRight w:val="0"/>
      <w:marTop w:val="0"/>
      <w:marBottom w:val="0"/>
      <w:divBdr>
        <w:top w:val="none" w:sz="0" w:space="0" w:color="auto"/>
        <w:left w:val="none" w:sz="0" w:space="0" w:color="auto"/>
        <w:bottom w:val="none" w:sz="0" w:space="0" w:color="auto"/>
        <w:right w:val="none" w:sz="0" w:space="0" w:color="auto"/>
      </w:divBdr>
    </w:div>
    <w:div w:id="1580401814">
      <w:bodyDiv w:val="1"/>
      <w:marLeft w:val="0"/>
      <w:marRight w:val="0"/>
      <w:marTop w:val="0"/>
      <w:marBottom w:val="0"/>
      <w:divBdr>
        <w:top w:val="none" w:sz="0" w:space="0" w:color="auto"/>
        <w:left w:val="none" w:sz="0" w:space="0" w:color="auto"/>
        <w:bottom w:val="none" w:sz="0" w:space="0" w:color="auto"/>
        <w:right w:val="none" w:sz="0" w:space="0" w:color="auto"/>
      </w:divBdr>
    </w:div>
    <w:div w:id="1766152297">
      <w:bodyDiv w:val="1"/>
      <w:marLeft w:val="0"/>
      <w:marRight w:val="0"/>
      <w:marTop w:val="0"/>
      <w:marBottom w:val="0"/>
      <w:divBdr>
        <w:top w:val="none" w:sz="0" w:space="0" w:color="auto"/>
        <w:left w:val="none" w:sz="0" w:space="0" w:color="auto"/>
        <w:bottom w:val="none" w:sz="0" w:space="0" w:color="auto"/>
        <w:right w:val="none" w:sz="0" w:space="0" w:color="auto"/>
      </w:divBdr>
    </w:div>
    <w:div w:id="1786150547">
      <w:bodyDiv w:val="1"/>
      <w:marLeft w:val="0"/>
      <w:marRight w:val="0"/>
      <w:marTop w:val="0"/>
      <w:marBottom w:val="0"/>
      <w:divBdr>
        <w:top w:val="none" w:sz="0" w:space="0" w:color="auto"/>
        <w:left w:val="none" w:sz="0" w:space="0" w:color="auto"/>
        <w:bottom w:val="none" w:sz="0" w:space="0" w:color="auto"/>
        <w:right w:val="none" w:sz="0" w:space="0" w:color="auto"/>
      </w:divBdr>
    </w:div>
    <w:div w:id="1865945466">
      <w:bodyDiv w:val="1"/>
      <w:marLeft w:val="0"/>
      <w:marRight w:val="0"/>
      <w:marTop w:val="0"/>
      <w:marBottom w:val="0"/>
      <w:divBdr>
        <w:top w:val="none" w:sz="0" w:space="0" w:color="auto"/>
        <w:left w:val="none" w:sz="0" w:space="0" w:color="auto"/>
        <w:bottom w:val="none" w:sz="0" w:space="0" w:color="auto"/>
        <w:right w:val="none" w:sz="0" w:space="0" w:color="auto"/>
      </w:divBdr>
    </w:div>
    <w:div w:id="1939099099">
      <w:bodyDiv w:val="1"/>
      <w:marLeft w:val="0"/>
      <w:marRight w:val="0"/>
      <w:marTop w:val="0"/>
      <w:marBottom w:val="0"/>
      <w:divBdr>
        <w:top w:val="none" w:sz="0" w:space="0" w:color="auto"/>
        <w:left w:val="none" w:sz="0" w:space="0" w:color="auto"/>
        <w:bottom w:val="none" w:sz="0" w:space="0" w:color="auto"/>
        <w:right w:val="none" w:sz="0" w:space="0" w:color="auto"/>
      </w:divBdr>
    </w:div>
    <w:div w:id="20961962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o@feedtheworld.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liance@feedtheworld.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iance@feedtheworld.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839cb7-7fe9-4c5c-bb7c-33a7691c817f" xsi:nil="true"/>
    <lcf76f155ced4ddcb4097134ff3c332f xmlns="2b3bad33-d482-4831-b344-7503f96c15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7AA08C6BB7AF4FACEDD5FD6A6537EA" ma:contentTypeVersion="8" ma:contentTypeDescription="Create a new document." ma:contentTypeScope="" ma:versionID="7ee4197f9debcdb06db24b028cd2640a">
  <xsd:schema xmlns:xsd="http://www.w3.org/2001/XMLSchema" xmlns:xs="http://www.w3.org/2001/XMLSchema" xmlns:p="http://schemas.microsoft.com/office/2006/metadata/properties" xmlns:ns2="2b3bad33-d482-4831-b344-7503f96c15ff" xmlns:ns3="7a839cb7-7fe9-4c5c-bb7c-33a7691c817f" targetNamespace="http://schemas.microsoft.com/office/2006/metadata/properties" ma:root="true" ma:fieldsID="02dfb10f700a9bce72f6be21b43a8805" ns2:_="" ns3:_="">
    <xsd:import namespace="2b3bad33-d482-4831-b344-7503f96c15ff"/>
    <xsd:import namespace="7a839cb7-7fe9-4c5c-bb7c-33a7691c81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bad33-d482-4831-b344-7503f96c1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1c90ff-0959-41de-bf28-0e1b9e9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39cb7-7fe9-4c5c-bb7c-33a7691c81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fe171c-35b7-4fe0-92db-640147f5660f}" ma:internalName="TaxCatchAll" ma:showField="CatchAllData" ma:web="7a839cb7-7fe9-4c5c-bb7c-33a7691c8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EBD20-CE4D-4899-B740-B8F3A1D4A30E}">
  <ds:schemaRefs>
    <ds:schemaRef ds:uri="http://schemas.microsoft.com/office/2006/metadata/properties"/>
    <ds:schemaRef ds:uri="http://schemas.microsoft.com/office/infopath/2007/PartnerControls"/>
    <ds:schemaRef ds:uri="7a839cb7-7fe9-4c5c-bb7c-33a7691c817f"/>
    <ds:schemaRef ds:uri="2b3bad33-d482-4831-b344-7503f96c15ff"/>
  </ds:schemaRefs>
</ds:datastoreItem>
</file>

<file path=customXml/itemProps2.xml><?xml version="1.0" encoding="utf-8"?>
<ds:datastoreItem xmlns:ds="http://schemas.openxmlformats.org/officeDocument/2006/customXml" ds:itemID="{CD90D885-FA7F-49B9-95F5-F36D73E10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bad33-d482-4831-b344-7503f96c15ff"/>
    <ds:schemaRef ds:uri="7a839cb7-7fe9-4c5c-bb7c-33a7691c8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3B421-7551-4F34-802A-28AC4D591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FTW</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c:creator>
  <cp:keywords/>
  <cp:lastModifiedBy>Mesud Sinanovic</cp:lastModifiedBy>
  <cp:revision>4</cp:revision>
  <cp:lastPrinted>2014-10-17T03:20:00Z</cp:lastPrinted>
  <dcterms:created xsi:type="dcterms:W3CDTF">2023-09-08T04:48:00Z</dcterms:created>
  <dcterms:modified xsi:type="dcterms:W3CDTF">2023-09-08T07:27:00Z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0x0101009F7AA08C6BB7AF4FACEDD5FD6A6537EA</vt:lpwstr>
  </property>
  <property fmtid="{D5CDD505-2E9C-101B-9397-08002B2CF9AE}" pid="3" name="MediaServiceImageTags">
    <vt:lpwstr/>
  </property>
</Properties>
</file>